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3EDA8" w14:textId="77777777" w:rsidR="00F171CC" w:rsidRPr="000A4D03" w:rsidRDefault="00F171CC">
      <w:pPr>
        <w:pStyle w:val="Title"/>
        <w:tabs>
          <w:tab w:val="left" w:pos="-5400"/>
          <w:tab w:val="left" w:pos="-3330"/>
        </w:tabs>
        <w:rPr>
          <w:sz w:val="24"/>
        </w:rPr>
      </w:pPr>
    </w:p>
    <w:p w14:paraId="200F360F" w14:textId="4349D424" w:rsidR="00F171CC" w:rsidRPr="000A4D03" w:rsidRDefault="00E26551" w:rsidP="00EC7EE7">
      <w:pPr>
        <w:pStyle w:val="Title"/>
        <w:tabs>
          <w:tab w:val="left" w:pos="-5400"/>
          <w:tab w:val="left" w:pos="-3330"/>
        </w:tabs>
        <w:rPr>
          <w:sz w:val="24"/>
        </w:rPr>
      </w:pPr>
      <w:r w:rsidRPr="000A4D03">
        <w:rPr>
          <w:sz w:val="32"/>
          <w:szCs w:val="32"/>
        </w:rPr>
        <w:t>Optimisme Pertumbuhan Kredit Perbankan di Tengah Ketidakpastian Ekonomi Global</w:t>
      </w:r>
      <w:r w:rsidRPr="000A4D03">
        <w:rPr>
          <w:sz w:val="24"/>
        </w:rPr>
        <w:br/>
      </w:r>
    </w:p>
    <w:p w14:paraId="0299A6F5" w14:textId="33856760" w:rsidR="00F171CC" w:rsidRPr="000A4D03" w:rsidRDefault="00E26551">
      <w:pPr>
        <w:jc w:val="center"/>
        <w:rPr>
          <w:b/>
          <w:sz w:val="20"/>
        </w:rPr>
      </w:pPr>
      <w:r w:rsidRPr="000A4D03">
        <w:rPr>
          <w:b/>
          <w:sz w:val="20"/>
        </w:rPr>
        <w:t>Hendi Yoga Pranata</w:t>
      </w:r>
      <w:r w:rsidRPr="000A4D03">
        <w:rPr>
          <w:b/>
          <w:sz w:val="20"/>
          <w:vertAlign w:val="superscript"/>
        </w:rPr>
        <w:t>1*</w:t>
      </w:r>
      <w:r w:rsidRPr="000A4D03">
        <w:rPr>
          <w:b/>
          <w:sz w:val="20"/>
        </w:rPr>
        <w:t>, Aby Hanandany</w:t>
      </w:r>
      <w:r w:rsidRPr="000A4D03">
        <w:rPr>
          <w:b/>
          <w:sz w:val="20"/>
          <w:vertAlign w:val="superscript"/>
        </w:rPr>
        <w:t>2</w:t>
      </w:r>
      <w:r w:rsidRPr="000A4D03">
        <w:rPr>
          <w:b/>
          <w:sz w:val="20"/>
        </w:rPr>
        <w:t xml:space="preserve">. </w:t>
      </w:r>
    </w:p>
    <w:p w14:paraId="2716EBD1" w14:textId="70125167" w:rsidR="00F171CC" w:rsidRPr="000A4D03" w:rsidRDefault="00E26551" w:rsidP="00E26551">
      <w:pPr>
        <w:jc w:val="center"/>
        <w:rPr>
          <w:i/>
          <w:iCs/>
          <w:sz w:val="20"/>
        </w:rPr>
      </w:pPr>
      <w:r w:rsidRPr="000A4D03">
        <w:rPr>
          <w:i/>
          <w:iCs/>
          <w:sz w:val="20"/>
          <w:vertAlign w:val="superscript"/>
        </w:rPr>
        <w:t xml:space="preserve">1,2 </w:t>
      </w:r>
      <w:r w:rsidRPr="000A4D03">
        <w:rPr>
          <w:i/>
          <w:iCs/>
          <w:sz w:val="20"/>
        </w:rPr>
        <w:t>Prodi Ekonomi, Universitas KH. A. Wahab Hasbullah, Indonesia</w:t>
      </w:r>
    </w:p>
    <w:p w14:paraId="35616AD9" w14:textId="72EA8C48" w:rsidR="00F171CC" w:rsidRPr="000A4D03" w:rsidRDefault="001A25E2">
      <w:pPr>
        <w:pBdr>
          <w:top w:val="nil"/>
          <w:left w:val="nil"/>
          <w:bottom w:val="nil"/>
          <w:right w:val="nil"/>
          <w:between w:val="nil"/>
        </w:pBdr>
        <w:jc w:val="center"/>
        <w:rPr>
          <w:color w:val="000000"/>
          <w:sz w:val="20"/>
        </w:rPr>
      </w:pPr>
      <w:r w:rsidRPr="000A4D03">
        <w:rPr>
          <w:color w:val="000000"/>
          <w:sz w:val="20"/>
        </w:rPr>
        <w:t xml:space="preserve">Corresponding email: </w:t>
      </w:r>
      <w:hyperlink r:id="rId9" w:history="1">
        <w:r w:rsidR="00E26551" w:rsidRPr="000A4D03">
          <w:rPr>
            <w:rStyle w:val="Hyperlink"/>
            <w:sz w:val="20"/>
          </w:rPr>
          <w:t>hendiyoga862@gmail.com</w:t>
        </w:r>
      </w:hyperlink>
      <w:r w:rsidR="00E26551" w:rsidRPr="000A4D03">
        <w:rPr>
          <w:color w:val="000000"/>
          <w:sz w:val="20"/>
        </w:rPr>
        <w:t xml:space="preserve">  </w:t>
      </w:r>
    </w:p>
    <w:p w14:paraId="754CC9F7" w14:textId="77777777" w:rsidR="00F171CC" w:rsidRPr="000A4D03" w:rsidRDefault="00F171CC">
      <w:pPr>
        <w:rPr>
          <w:b/>
        </w:rPr>
      </w:pPr>
    </w:p>
    <w:p w14:paraId="1DECFF58" w14:textId="4269DC99" w:rsidR="00F171CC" w:rsidRPr="000A4D03" w:rsidRDefault="001A25E2">
      <w:pPr>
        <w:spacing w:after="120"/>
        <w:jc w:val="center"/>
        <w:rPr>
          <w:b/>
          <w:i/>
          <w:sz w:val="22"/>
          <w:szCs w:val="22"/>
        </w:rPr>
      </w:pPr>
      <w:r w:rsidRPr="000A4D03">
        <w:rPr>
          <w:b/>
          <w:i/>
          <w:sz w:val="22"/>
          <w:szCs w:val="22"/>
        </w:rPr>
        <w:t>Abstract</w:t>
      </w:r>
    </w:p>
    <w:p w14:paraId="280C9B20" w14:textId="25F309A4" w:rsidR="00F171CC" w:rsidRPr="000A4D03" w:rsidRDefault="000A4D03" w:rsidP="000A4D03">
      <w:pPr>
        <w:ind w:right="14"/>
        <w:jc w:val="both"/>
        <w:rPr>
          <w:bCs/>
          <w:i/>
          <w:sz w:val="22"/>
          <w:szCs w:val="22"/>
        </w:rPr>
      </w:pPr>
      <w:r w:rsidRPr="000A4D03">
        <w:rPr>
          <w:bCs/>
          <w:i/>
          <w:sz w:val="22"/>
          <w:szCs w:val="22"/>
        </w:rPr>
        <w:t>This research aims to analyze the optimism of banking credit growth in Indonesia amid global economic uncertainty affecting credit demand and distribution. The method used is library research with a descriptive qualitative approach, which examines various literature, official reports from Bank Indonesia, the Financial Services Authority (OJK), as well as current statistical data and economic articles. The research results show that although credit growth in 2025 experienced a slowdown with an annual rate of 8.88% in April 2025, the investment sector and the productive sector remained the main drivers of credit growth. Accommodative monetary policies, such as lowering the benchmark interest rate and strengthening macroprudential policies, provide significant support for credit distribution. In addition, coordination between financial authorities also helps maintain the stability of the national financial system. In conclusion, despite the challenges posed by the uncertain global economic conditions, strong domestic economic fundamentals and appropriate policies are the main factors underlying the optimism for Indonesia's banking credit growth in 2025.</w:t>
      </w:r>
    </w:p>
    <w:p w14:paraId="06A7F165" w14:textId="77777777" w:rsidR="00F171CC" w:rsidRPr="000A4D03" w:rsidRDefault="00F171CC">
      <w:pPr>
        <w:jc w:val="right"/>
        <w:rPr>
          <w:b/>
          <w:i/>
          <w:sz w:val="22"/>
          <w:szCs w:val="22"/>
        </w:rPr>
      </w:pPr>
    </w:p>
    <w:p w14:paraId="73E47034" w14:textId="77777777" w:rsidR="00F171CC" w:rsidRPr="000A4D03" w:rsidRDefault="001A25E2">
      <w:pPr>
        <w:pBdr>
          <w:top w:val="nil"/>
          <w:left w:val="nil"/>
          <w:bottom w:val="nil"/>
          <w:right w:val="nil"/>
          <w:between w:val="nil"/>
        </w:pBdr>
        <w:spacing w:before="120" w:after="120"/>
        <w:jc w:val="right"/>
        <w:rPr>
          <w:color w:val="000000"/>
          <w:szCs w:val="24"/>
        </w:rPr>
      </w:pPr>
      <w:r w:rsidRPr="000A4D03">
        <w:rPr>
          <w:i/>
          <w:color w:val="000000"/>
          <w:sz w:val="18"/>
          <w:szCs w:val="18"/>
        </w:rPr>
        <w:t xml:space="preserve">This is an open access article under the </w:t>
      </w:r>
      <w:hyperlink r:id="rId10">
        <w:r w:rsidR="00F171CC" w:rsidRPr="000A4D03">
          <w:rPr>
            <w:i/>
            <w:color w:val="0000FF"/>
            <w:sz w:val="18"/>
            <w:szCs w:val="18"/>
            <w:u w:val="single"/>
          </w:rPr>
          <w:t>CC BY-SA</w:t>
        </w:r>
      </w:hyperlink>
      <w:r w:rsidRPr="000A4D03">
        <w:rPr>
          <w:i/>
          <w:color w:val="000000"/>
          <w:sz w:val="18"/>
          <w:szCs w:val="18"/>
        </w:rPr>
        <w:t xml:space="preserve"> license.</w:t>
      </w:r>
    </w:p>
    <w:p w14:paraId="1DB163CB" w14:textId="77777777" w:rsidR="00F171CC" w:rsidRPr="000A4D03" w:rsidRDefault="001A25E2">
      <w:pPr>
        <w:pBdr>
          <w:top w:val="nil"/>
          <w:left w:val="nil"/>
          <w:bottom w:val="nil"/>
          <w:right w:val="nil"/>
          <w:between w:val="nil"/>
        </w:pBdr>
        <w:spacing w:before="120" w:after="120"/>
        <w:jc w:val="right"/>
        <w:rPr>
          <w:color w:val="000000"/>
          <w:szCs w:val="24"/>
        </w:rPr>
      </w:pPr>
      <w:r w:rsidRPr="000A4D03">
        <w:rPr>
          <w:color w:val="000000"/>
          <w:szCs w:val="24"/>
        </w:rPr>
        <w:drawing>
          <wp:inline distT="0" distB="0" distL="0" distR="0" wp14:anchorId="641D5065" wp14:editId="53A22D33">
            <wp:extent cx="1057275" cy="371475"/>
            <wp:effectExtent l="0" t="0" r="0" b="0"/>
            <wp:docPr id="1906004558" name="image2.png" descr="A black and white sign with a person in a circ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black and white sign with a person in a circle&#10;&#10;Description automatically generated"/>
                    <pic:cNvPicPr preferRelativeResize="0"/>
                  </pic:nvPicPr>
                  <pic:blipFill>
                    <a:blip r:embed="rId11"/>
                    <a:srcRect/>
                    <a:stretch>
                      <a:fillRect/>
                    </a:stretch>
                  </pic:blipFill>
                  <pic:spPr>
                    <a:xfrm>
                      <a:off x="0" y="0"/>
                      <a:ext cx="1057275" cy="371475"/>
                    </a:xfrm>
                    <a:prstGeom prst="rect">
                      <a:avLst/>
                    </a:prstGeom>
                    <a:ln/>
                  </pic:spPr>
                </pic:pic>
              </a:graphicData>
            </a:graphic>
          </wp:inline>
        </w:drawing>
      </w:r>
    </w:p>
    <w:p w14:paraId="394E219D" w14:textId="77777777" w:rsidR="00F171CC" w:rsidRPr="000A4D03" w:rsidRDefault="00F171CC">
      <w:pPr>
        <w:jc w:val="right"/>
        <w:rPr>
          <w:b/>
          <w:i/>
          <w:sz w:val="22"/>
          <w:szCs w:val="22"/>
        </w:rPr>
      </w:pPr>
    </w:p>
    <w:p w14:paraId="25E1F403" w14:textId="328E5A74" w:rsidR="00F171CC" w:rsidRPr="000A4D03" w:rsidRDefault="001A25E2" w:rsidP="000A4D03">
      <w:pPr>
        <w:spacing w:after="120"/>
        <w:ind w:left="1080" w:right="14" w:hanging="1080"/>
        <w:jc w:val="both"/>
        <w:rPr>
          <w:i/>
          <w:sz w:val="22"/>
          <w:szCs w:val="22"/>
        </w:rPr>
        <w:sectPr w:rsidR="00F171CC" w:rsidRPr="000A4D03" w:rsidSect="00412E9E">
          <w:headerReference w:type="even" r:id="rId12"/>
          <w:headerReference w:type="default" r:id="rId13"/>
          <w:footerReference w:type="even" r:id="rId14"/>
          <w:footerReference w:type="default" r:id="rId15"/>
          <w:headerReference w:type="first" r:id="rId16"/>
          <w:footerReference w:type="first" r:id="rId17"/>
          <w:pgSz w:w="11909" w:h="16834"/>
          <w:pgMar w:top="1701" w:right="1701" w:bottom="1985" w:left="1701" w:header="568" w:footer="1242" w:gutter="0"/>
          <w:pgNumType w:start="122"/>
          <w:cols w:space="720"/>
        </w:sectPr>
      </w:pPr>
      <w:r w:rsidRPr="000A4D03">
        <w:rPr>
          <w:b/>
          <w:i/>
          <w:sz w:val="22"/>
          <w:szCs w:val="22"/>
        </w:rPr>
        <w:t>Keywords:</w:t>
      </w:r>
      <w:r w:rsidR="000A4D03" w:rsidRPr="000A4D03">
        <w:rPr>
          <w:rFonts w:ascii="Helvetica Neue" w:eastAsia="Helvetica Neue" w:hAnsi="Helvetica Neue" w:cs="Helvetica Neue"/>
          <w:color w:val="525252"/>
          <w:sz w:val="20"/>
        </w:rPr>
        <w:t xml:space="preserve"> </w:t>
      </w:r>
      <w:r w:rsidR="000A4D03" w:rsidRPr="000A4D03">
        <w:rPr>
          <w:i/>
          <w:sz w:val="22"/>
          <w:szCs w:val="22"/>
        </w:rPr>
        <w:t>Credit Growth, Global Economy, Banking</w:t>
      </w:r>
    </w:p>
    <w:p w14:paraId="685AD188" w14:textId="77777777" w:rsidR="00F171CC" w:rsidRPr="000A4D03" w:rsidRDefault="00F171CC">
      <w:pPr>
        <w:sectPr w:rsidR="00F171CC" w:rsidRPr="000A4D03">
          <w:type w:val="continuous"/>
          <w:pgSz w:w="11909" w:h="16834"/>
          <w:pgMar w:top="1701" w:right="1701" w:bottom="1985" w:left="1701" w:header="1060" w:footer="1242" w:gutter="0"/>
          <w:cols w:space="720"/>
        </w:sectPr>
      </w:pPr>
    </w:p>
    <w:p w14:paraId="7F254251" w14:textId="6AFADBD0" w:rsidR="00F171CC" w:rsidRPr="000A4D03" w:rsidRDefault="001A25E2">
      <w:pPr>
        <w:pStyle w:val="Heading1"/>
        <w:numPr>
          <w:ilvl w:val="0"/>
          <w:numId w:val="1"/>
        </w:numPr>
        <w:spacing w:after="60"/>
        <w:ind w:left="272" w:hanging="272"/>
        <w:rPr>
          <w:i w:val="0"/>
          <w:sz w:val="22"/>
          <w:szCs w:val="22"/>
        </w:rPr>
      </w:pPr>
      <w:r w:rsidRPr="000A4D03">
        <w:rPr>
          <w:i w:val="0"/>
          <w:sz w:val="22"/>
          <w:szCs w:val="22"/>
        </w:rPr>
        <w:t>INTRODUCTION</w:t>
      </w:r>
    </w:p>
    <w:p w14:paraId="124B7F30" w14:textId="1FC53A43" w:rsidR="000A4D03" w:rsidRDefault="00EF62A0" w:rsidP="00EF62A0">
      <w:pPr>
        <w:spacing w:after="240"/>
        <w:ind w:firstLine="567"/>
        <w:jc w:val="both"/>
        <w:rPr>
          <w:sz w:val="22"/>
          <w:szCs w:val="22"/>
        </w:rPr>
      </w:pPr>
      <w:r w:rsidRPr="00EF62A0">
        <w:rPr>
          <w:sz w:val="22"/>
          <w:szCs w:val="22"/>
        </w:rPr>
        <w:t xml:space="preserve">Pertumbuhan kredit perbankan di Indonesia pada awal 2025 menunjukkan tren positif meskipun mengalami perlambatan. Pada bulan April 2025, tingkat pertumbuhan kredit tercatat lebih rendah dibandingkan bulan sebelumnya, yang antara lain disebabkan oleh melemahnya daya beli masyarakat serta sikap kehati-hatian bank dalam menyalurkan kredit, terutama pada segmen konsumsi yang risikonya lebih tinggi. Namun, kredit investasi tetap tumbuh kuat, bahkan mencapai pertumbuhan dua digit, didorong oleh sektor industri, pertambangan, dan jasa sosial sebagai motor utama. </w:t>
      </w:r>
      <w:r w:rsidR="000A4D03" w:rsidRPr="000A4D03">
        <w:rPr>
          <w:sz w:val="22"/>
          <w:szCs w:val="22"/>
        </w:rPr>
        <w:t>(Andrean &amp; Mukhlis, 2021)</w:t>
      </w:r>
      <w:r w:rsidR="004B5DAD">
        <w:rPr>
          <w:sz w:val="22"/>
          <w:szCs w:val="22"/>
          <w:lang w:val="en-US"/>
        </w:rPr>
        <w:t xml:space="preserve"> </w:t>
      </w:r>
      <w:r w:rsidR="000A4D03" w:rsidRPr="000A4D03">
        <w:rPr>
          <w:sz w:val="22"/>
          <w:szCs w:val="22"/>
        </w:rPr>
        <w:t>Bank Indonesia (BI) memproyeksikan pertumbuhan kredit akan berada di kisaran 11-13% pada tahun ini, didukung oleh kebijakan moneter yang akomodatif seperti penurunan suku bunga acuan (BI Rate) dan penguatan kebijakan makroprudensial.</w:t>
      </w:r>
    </w:p>
    <w:p w14:paraId="6C58E180" w14:textId="36808040" w:rsidR="00757234" w:rsidRDefault="00D35AB4" w:rsidP="00D35AB4">
      <w:pPr>
        <w:spacing w:after="240"/>
        <w:ind w:firstLine="567"/>
        <w:jc w:val="both"/>
        <w:rPr>
          <w:sz w:val="22"/>
          <w:szCs w:val="22"/>
        </w:rPr>
      </w:pPr>
      <w:r w:rsidRPr="00D35AB4">
        <w:rPr>
          <w:sz w:val="22"/>
          <w:szCs w:val="22"/>
        </w:rPr>
        <w:t xml:space="preserve">Ketidakpastian ekonomi global yang dipicu oleh konflik geopolitik, fluktuasi harga komoditas, dan potensi perang dagang memberikan tantangan tersendiri bagi perbankan dalam menyalurkan kredit. Namun, kebijakan makroprudensial yang akomodatif dari Bank Indonesia (BI) dan koordinasi yang erat dengan Otoritas Jasa Keuangan (OJK) serta Komite Stabilitas Sistem Keuangan (KSSK) menjadi instrumen penting untuk menjaga likuiditas dan mendorong pertumbuhan kredit ke sektor riil. BI memproyeksikan pertumbuhan kredit perbankan akan </w:t>
      </w:r>
      <w:r w:rsidRPr="00D35AB4">
        <w:rPr>
          <w:sz w:val="22"/>
          <w:szCs w:val="22"/>
        </w:rPr>
        <w:lastRenderedPageBreak/>
        <w:t>berada pada kisaran 11-13% sepanjang tahun 2025, meskipun risiko global tetap harus diwaspadai.</w:t>
      </w:r>
    </w:p>
    <w:p w14:paraId="7AC4F4E8" w14:textId="61F002E1" w:rsidR="00D35AB4" w:rsidRDefault="00D35AB4" w:rsidP="00D35AB4">
      <w:pPr>
        <w:spacing w:after="240"/>
        <w:ind w:firstLine="567"/>
        <w:jc w:val="both"/>
        <w:rPr>
          <w:sz w:val="22"/>
          <w:szCs w:val="22"/>
        </w:rPr>
      </w:pPr>
      <w:r w:rsidRPr="00D35AB4">
        <w:rPr>
          <w:sz w:val="22"/>
          <w:szCs w:val="22"/>
        </w:rPr>
        <w:t>Perbankan Indonesia juga menunjukkan adaptasi melalui transformasi digital yang semakin masif. Digitalisasi layanan perbankan tidak hanya meningkatkan efisiensi operasional, tetapi juga memperluas akses pembiayaan bagi berbagai segmen masyarakat dan pelaku usaha, termasuk UMKM. Hal ini menjadi salah satu faktor pendukung optimisme pertumbuhan kredit, karena mempercepat proses penyaluran dan mempermudah pemantauan risiko kredit. Transformasi ini juga sejalan dengan upaya pemerintah dan regulator dalam mendorong inklusi keuangan yang lebih luas.</w:t>
      </w:r>
    </w:p>
    <w:p w14:paraId="4FAB505F" w14:textId="12574302" w:rsidR="00D35AB4" w:rsidRDefault="00D35AB4" w:rsidP="00D35AB4">
      <w:pPr>
        <w:spacing w:after="240"/>
        <w:ind w:firstLine="567"/>
        <w:jc w:val="both"/>
        <w:rPr>
          <w:sz w:val="22"/>
          <w:szCs w:val="22"/>
        </w:rPr>
      </w:pPr>
      <w:r w:rsidRPr="00D35AB4">
        <w:rPr>
          <w:sz w:val="22"/>
          <w:szCs w:val="22"/>
        </w:rPr>
        <w:t>Dari sisi permintaan, meskipun terjadi perlambatan di segmen kredit konsumsi dan modal kerja, kredit investasi masih menunjukkan pertumbuhan yang relatif tinggi, yakni sekitar 13,36% pada Maret 2025. Hal ini mencerminkan kepercayaan pelaku usaha untuk melakukan ekspansi dan investasi meskipun kondisi ekonomi global belum sepenuhnya kondusif. Sektor industri, pertambangan, dan jasa sosial menjadi sektor yang paling banyak menyerap kredit, sementara sektor konstruksi dan perdagangan masih menghadapi keterbatasan pertumbuhan.</w:t>
      </w:r>
    </w:p>
    <w:p w14:paraId="38B25C4C" w14:textId="0DD08CF7" w:rsidR="00F97C94" w:rsidRDefault="00F97C94" w:rsidP="00F97C94">
      <w:pPr>
        <w:spacing w:after="240"/>
        <w:ind w:firstLine="567"/>
        <w:jc w:val="both"/>
        <w:rPr>
          <w:sz w:val="22"/>
          <w:szCs w:val="22"/>
        </w:rPr>
      </w:pPr>
      <w:r w:rsidRPr="00F97C94">
        <w:rPr>
          <w:sz w:val="22"/>
          <w:szCs w:val="22"/>
        </w:rPr>
        <w:t>Likuiditas perbankan juga tetap terjaga dengan baik, meskipun beberapa bank menghadapi tantangan dalam meningkatkan dana pihak ketiga (DPK) dan sumber pendanaan lainnya. Kebijakan suku bunga yang relatif stabil serta insentif likuiditas makroprudensial menjadi faktor pendukung yang menjaga minat bank dalam menyalurkan kredit. BI juga memperkuat ketentuan rasio pendanaan luar negeri untuk memastikan manajemen likuiditas yang sehat dan mendukung penyaluran kredit ke sektor riil.</w:t>
      </w:r>
      <w:r w:rsidR="00DE7050">
        <w:rPr>
          <w:rStyle w:val="FootnoteReference"/>
          <w:sz w:val="22"/>
          <w:szCs w:val="22"/>
        </w:rPr>
        <w:fldChar w:fldCharType="begin" w:fldLock="1"/>
      </w:r>
      <w:r w:rsidR="00206286">
        <w:rPr>
          <w:sz w:val="22"/>
          <w:szCs w:val="22"/>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approach.","author":[{"dropping-particle":"","family":"Shafiin","given":"Azhar","non-dropping-particle":"","parse-names":false,"suffix":""}],"id":"ITEM-1","issued":{"date-parts":[["2014"]]},"page":"22-31","title":"Pengaruh Rasio Keuangan Terhadap Profitabilitas dengan NOM dan GWM Sebagai Faktor Moderasi Rasio Keuangan Perbankan (Studi Di Bank NTB Syariah)","type":"article-journal"},"uris":["http://www.mendeley.com/documents/?uuid=2f20e5e4-b193-4c1a-8441-ad7437b8b0d6"]}],"mendeley":{"formattedCitation":"(Shafiin, 2014)","plainTextFormattedCitation":"(Shafiin, 2014)","previouslyFormattedCitation":"(Shafiin, 2014)"},"properties":{"noteIndex":0},"schema":"https://github.com/citation-style-language/schema/raw/master/csl-citation.json"}</w:instrText>
      </w:r>
      <w:r w:rsidR="00DE7050">
        <w:rPr>
          <w:rStyle w:val="FootnoteReference"/>
          <w:sz w:val="22"/>
          <w:szCs w:val="22"/>
        </w:rPr>
        <w:fldChar w:fldCharType="separate"/>
      </w:r>
      <w:r w:rsidR="00DE7050" w:rsidRPr="00DE7050">
        <w:rPr>
          <w:sz w:val="22"/>
          <w:szCs w:val="22"/>
        </w:rPr>
        <w:t>(Shafiin, 2014)</w:t>
      </w:r>
      <w:r w:rsidR="00DE7050">
        <w:rPr>
          <w:rStyle w:val="FootnoteReference"/>
          <w:sz w:val="22"/>
          <w:szCs w:val="22"/>
        </w:rPr>
        <w:fldChar w:fldCharType="end"/>
      </w:r>
    </w:p>
    <w:p w14:paraId="76EA956A" w14:textId="11105CC3" w:rsidR="00206BD8" w:rsidRDefault="00206BD8" w:rsidP="00206BD8">
      <w:pPr>
        <w:spacing w:after="240"/>
        <w:ind w:firstLine="567"/>
        <w:jc w:val="both"/>
        <w:rPr>
          <w:sz w:val="22"/>
          <w:szCs w:val="22"/>
        </w:rPr>
      </w:pPr>
      <w:r w:rsidRPr="00206BD8">
        <w:rPr>
          <w:sz w:val="22"/>
          <w:szCs w:val="22"/>
        </w:rPr>
        <w:t>Optimisme pertumbuhan kredit perbankan ini sangat relevan dengan upaya pemulihan ekonomi nasional pasca pandemi dan menghadapi tantangan global. Kredit perbankan merupakan salah satu motor utama pembiayaan sektor riil yang berkontribusi pada penciptaan lapangan kerja dan peningkatan produktivitas ekonomi. Oleh karena itu, memahami dinamika pertumbuhan kredit di tengah ketidakpastian global menjadi penting untuk merumuskan kebijakan yang tepat dan strategi perbankan yang adaptif.</w:t>
      </w:r>
      <w:r w:rsidR="00206286">
        <w:rPr>
          <w:sz w:val="22"/>
          <w:szCs w:val="22"/>
        </w:rPr>
        <w:fldChar w:fldCharType="begin" w:fldLock="1"/>
      </w:r>
      <w:r w:rsidR="00206286">
        <w:rPr>
          <w:sz w:val="22"/>
          <w:szCs w:val="22"/>
        </w:rPr>
        <w:instrText>ADDIN CSL_CITATION {"citationItems":[{"id":"ITEM-1","itemData":{"DOI":"10.25299/jtb.2020.vol3(2).5809","ISSN":"2621-6833","abstract":"Penelitian ini merumuskan model pemulihan ekonomi Indonesia pasca pandemi Covid-19 dengan mengkombinasikan model filantropi Islam dengan The National Domestic Economic Auto-Sustainability Model (NDEAS-MODEL). Metode penelitian ini berupa Studi Kepustakaan (Library Research). Hasil penelitian ini berupa gabungan antara filantropi Islam dengan NDEAS Model yang memberikan model keberlanjutan berupa kebangkitan ekonomi yang ditandai dengan adanya kenaikan pendapatan dan Negara Indonesia menjadi lebih hemat pengeluaran sehingga produktivitas lebih tinggi maka pendapatan dan tabungan juga dapat meningkat secara bersamaan, hal inilah yang dapat menekan biaya produksi karena investasi sama dengan tabungan, menghasilkan lapangan pekerjaan dan menarik investor domestik dan internasional, ketahanan pangan dan identitas negara serta berkurangnya pencemaran lingkungan.","author":[{"dropping-particle":"","family":"Puspitasari Gobel","given":"Yulia","non-dropping-particle":"","parse-names":false,"suffix":""}],"container-title":"Jurnal Tabarru': Islamic Banking and Finance","id":"ITEM-1","issue":"2","issued":{"date-parts":[["2020"]]},"page":"209-223","title":"Pemulihan Ekonomi Indonesia Pasca Pandemi Covid-19 Dengan Mengkombinasikan Model Filantropi Islam Dan Ndeas Model","type":"article-journal","volume":"3"},"uris":["http://www.mendeley.com/documents/?uuid=66e1f270-c466-449a-bf8f-b017bc2743b5"]}],"mendeley":{"formattedCitation":"(Puspitasari Gobel, 2020)","plainTextFormattedCitation":"(Puspitasari Gobel, 2020)"},"properties":{"noteIndex":0},"schema":"https://github.com/citation-style-language/schema/raw/master/csl-citation.json"}</w:instrText>
      </w:r>
      <w:r w:rsidR="00206286">
        <w:rPr>
          <w:sz w:val="22"/>
          <w:szCs w:val="22"/>
        </w:rPr>
        <w:fldChar w:fldCharType="separate"/>
      </w:r>
      <w:r w:rsidR="00206286" w:rsidRPr="00206286">
        <w:rPr>
          <w:sz w:val="22"/>
          <w:szCs w:val="22"/>
        </w:rPr>
        <w:t>(Puspitasari Gobel, 2020)</w:t>
      </w:r>
      <w:r w:rsidR="00206286">
        <w:rPr>
          <w:sz w:val="22"/>
          <w:szCs w:val="22"/>
        </w:rPr>
        <w:fldChar w:fldCharType="end"/>
      </w:r>
    </w:p>
    <w:p w14:paraId="0AD60F30" w14:textId="4FDA63E4" w:rsidR="00206BD8" w:rsidRDefault="00206BD8" w:rsidP="00206BD8">
      <w:pPr>
        <w:spacing w:after="240"/>
        <w:ind w:firstLine="567"/>
        <w:jc w:val="both"/>
        <w:rPr>
          <w:sz w:val="22"/>
          <w:szCs w:val="22"/>
        </w:rPr>
      </w:pPr>
      <w:r w:rsidRPr="00206BD8">
        <w:rPr>
          <w:sz w:val="22"/>
          <w:szCs w:val="22"/>
        </w:rPr>
        <w:t>Penelitian ini bertujuan untuk menganalisis faktor-faktor yang memengaruhi optimisme pertumbuhan kredit perbankan di Indonesia pada tahun 2025, mengkaji dampak ketidakpastian ekonomi global terhadap sektor perbankan, serta mengevaluasi kebijakan makroprudensial dan transformasi digital yang diterapkan untuk mendukung pertumbuhan kredit. Dengan demikian, hasil penelitian diharapkan dapat memberikan rekomendasi strategis bagi regulator dan pelaku perbankan dalam menjaga stabilitas dan mendorong pertumbuhan ekonomi yang berkelanjutan.</w:t>
      </w:r>
    </w:p>
    <w:p w14:paraId="742B4358" w14:textId="203E0C6D" w:rsidR="000B5AD1" w:rsidRPr="000B5AD1" w:rsidRDefault="000B5AD1" w:rsidP="000B5AD1">
      <w:pPr>
        <w:spacing w:after="240"/>
        <w:ind w:firstLine="567"/>
        <w:jc w:val="both"/>
        <w:rPr>
          <w:sz w:val="22"/>
          <w:szCs w:val="22"/>
          <w:lang w:val="en-US"/>
        </w:rPr>
      </w:pPr>
      <w:r w:rsidRPr="000B5AD1">
        <w:rPr>
          <w:sz w:val="22"/>
          <w:szCs w:val="22"/>
        </w:rPr>
        <w:t>Secara keseluruhan, meskipun tantangan global masih membayangi, pertumbuhan kredit perbankan Indonesia pada 2025 menunjukkan sinyal positif yang didukung oleh kebijakan yang tepat dan adaptasi teknologi. Optimisme ini menjadi modal penting dalam menjaga momentum pemulihan ekonomi nasional dan memperkuat peran perbankan sebagai pilar utama pembangunan ekonomi di tengah ketidakpastian global.</w:t>
      </w:r>
    </w:p>
    <w:p w14:paraId="42709B71" w14:textId="77777777" w:rsidR="00F171CC" w:rsidRPr="000A4D03" w:rsidRDefault="001A25E2">
      <w:pPr>
        <w:pStyle w:val="Heading1"/>
        <w:numPr>
          <w:ilvl w:val="0"/>
          <w:numId w:val="1"/>
        </w:numPr>
        <w:spacing w:after="60"/>
        <w:ind w:left="270" w:hanging="270"/>
        <w:rPr>
          <w:i w:val="0"/>
          <w:sz w:val="22"/>
          <w:szCs w:val="22"/>
        </w:rPr>
      </w:pPr>
      <w:r w:rsidRPr="000A4D03">
        <w:rPr>
          <w:i w:val="0"/>
          <w:sz w:val="22"/>
          <w:szCs w:val="22"/>
        </w:rPr>
        <w:t>RESEARCH METHOD</w:t>
      </w:r>
    </w:p>
    <w:p w14:paraId="7D80D10A" w14:textId="554C257D" w:rsidR="000A4D03" w:rsidRPr="000A4D03" w:rsidRDefault="000A4D03" w:rsidP="000A4D03">
      <w:pPr>
        <w:spacing w:after="240"/>
        <w:ind w:firstLine="567"/>
        <w:jc w:val="both"/>
        <w:rPr>
          <w:sz w:val="22"/>
          <w:szCs w:val="22"/>
        </w:rPr>
      </w:pPr>
      <w:r w:rsidRPr="000A4D03">
        <w:rPr>
          <w:sz w:val="22"/>
          <w:szCs w:val="22"/>
        </w:rPr>
        <w:t>Penelitian ini menggunakan metode penelitian perpustakaan (library research) dengan pendekatan deskriptif kualitatif.</w:t>
      </w:r>
      <w:r w:rsidR="000A5585">
        <w:rPr>
          <w:sz w:val="22"/>
          <w:szCs w:val="22"/>
        </w:rPr>
        <w:fldChar w:fldCharType="begin" w:fldLock="1"/>
      </w:r>
      <w:r w:rsidR="00DE7050">
        <w:rPr>
          <w:sz w:val="22"/>
          <w:szCs w:val="22"/>
        </w:rPr>
        <w:instrText>ADDIN CSL_CITATION {"citationItems":[{"id":"ITEM-1","itemData":{"DOI":"10.15548/nsc.v6i1.1555","abstract":"Thesis is a scientific paper compiled by undergraduate students to complete their education. Many methods are used by students to obtain data or information in the preparation of this thesis. This form of activity is often used by students to obtain data by conducting field research. However, this type of research cannot always be carried out, especially in a co-19 pandemic emergency. Literature research is the right way to produce scientific work. But not all students are ready to do this library research. One reason is that there are no guidelines and examples they can guide to conducting this research. So the purpose of this writing is to provide guidelines for students and lecturers to carry out library research in the field of education.","author":[{"dropping-particle":"","family":"Sari","given":"Milya","non-dropping-particle":"","parse-names":false,"suffix":""},{"dropping-particle":"","family":"Asmendri","given":"Asmendri","non-dropping-particle":"","parse-names":false,"suffix":""}],"container-title":"Natural Science","id":"ITEM-1","issue":"1","issued":{"date-parts":[["2020"]]},"page":"41-53","title":"Penelitian Kepustakaan (Library Research) dalam Penelitian Pendidikan IPA","type":"article-journal","volume":"6"},"uris":["http://www.mendeley.com/documents/?uuid=48480bd5-a738-402f-ab47-2dfadeab3170","http://www.mendeley.com/documents/?uuid=7d79d5bc-2d7c-4efb-8862-247864539c8d"]}],"mendeley":{"formattedCitation":"(Sari &amp; Asmendri, 2020)","plainTextFormattedCitation":"(Sari &amp; Asmendri, 2020)","previouslyFormattedCitation":"(Sari &amp; Asmendri, 2020)"},"properties":{"noteIndex":0},"schema":"https://github.com/citation-style-language/schema/raw/master/csl-citation.json"}</w:instrText>
      </w:r>
      <w:r w:rsidR="000A5585">
        <w:rPr>
          <w:sz w:val="22"/>
          <w:szCs w:val="22"/>
        </w:rPr>
        <w:fldChar w:fldCharType="separate"/>
      </w:r>
      <w:r w:rsidR="000A5585" w:rsidRPr="000A5585">
        <w:rPr>
          <w:sz w:val="22"/>
          <w:szCs w:val="22"/>
        </w:rPr>
        <w:t>(Sari &amp; Asmendri, 2020)</w:t>
      </w:r>
      <w:r w:rsidR="000A5585">
        <w:rPr>
          <w:sz w:val="22"/>
          <w:szCs w:val="22"/>
        </w:rPr>
        <w:fldChar w:fldCharType="end"/>
      </w:r>
      <w:r w:rsidRPr="000A4D03">
        <w:rPr>
          <w:sz w:val="22"/>
          <w:szCs w:val="22"/>
        </w:rPr>
        <w:t xml:space="preserve"> Metode ini dipilih karena fokus penelitian adalah untuk mengkaji dan menganalisis data dan informasi yang telah tersedia terkait pertumbuhan kredit perbankan di Indonesia dalam konteks ketidakpastian ekonomi global</w:t>
      </w:r>
    </w:p>
    <w:p w14:paraId="2D72E205" w14:textId="08E95C8B" w:rsidR="004C403F" w:rsidRPr="004C403F" w:rsidRDefault="004C403F" w:rsidP="004C403F">
      <w:pPr>
        <w:spacing w:after="240"/>
        <w:ind w:firstLine="567"/>
        <w:jc w:val="both"/>
        <w:rPr>
          <w:sz w:val="22"/>
          <w:szCs w:val="22"/>
          <w:lang w:val="en-US"/>
        </w:rPr>
      </w:pPr>
      <w:r w:rsidRPr="004C403F">
        <w:rPr>
          <w:sz w:val="22"/>
          <w:szCs w:val="22"/>
          <w:lang w:val="en-US"/>
        </w:rPr>
        <w:lastRenderedPageBreak/>
        <w:t>Proses pengumpulan data sekunder dilakukan dengan mengidentifikasi dan memilih sumber-sumber yang valid dan terpercaya. Data yang digunakan mencakup statistik pertumbuhan kredit, kebijakan makroprudensial, kondisi likuiditas perbankan, dan dinamika ekonomi global yang memengaruhi sektor perbankan. Sumber data ini diperoleh dari dokumen resmi, publikasi tahunan, siaran pers, serta artikel dan laporan riset yang telah melewati proses review dan validasi institusional.</w:t>
      </w:r>
    </w:p>
    <w:p w14:paraId="11FF6406" w14:textId="05449CA5" w:rsidR="004C403F" w:rsidRPr="004C403F" w:rsidRDefault="004C403F" w:rsidP="004C403F">
      <w:pPr>
        <w:spacing w:after="240"/>
        <w:ind w:firstLine="567"/>
        <w:jc w:val="both"/>
        <w:rPr>
          <w:sz w:val="22"/>
          <w:szCs w:val="22"/>
          <w:lang w:val="en-US"/>
        </w:rPr>
      </w:pPr>
      <w:r w:rsidRPr="004C403F">
        <w:rPr>
          <w:sz w:val="22"/>
          <w:szCs w:val="22"/>
          <w:lang w:val="en-US"/>
        </w:rPr>
        <w:t>Untuk memastikan validitas data sekunder, penelitian ini menerapkan teknik triangulasi sumber. Data yang diperoleh dari satu sumber dibandingkan dan dikonfirmasi dengan data dari sumber lain yang independen. Misalnya, data pertumbuhan kredit yang diperoleh dari laporan OJK dikonfirmasi dengan data Bank Indonesia dan publikasi lembaga riset ekonomi. Triangulasi ini mengurangi risiko bias dan meningkatkan keakuratan serta kredibilitas data yang digunakan dalam analisis.</w:t>
      </w:r>
      <w:r>
        <w:rPr>
          <w:sz w:val="22"/>
          <w:szCs w:val="22"/>
          <w:lang w:val="en-US"/>
        </w:rPr>
        <w:t xml:space="preserve"> </w:t>
      </w:r>
      <w:r w:rsidRPr="004C403F">
        <w:rPr>
          <w:sz w:val="22"/>
          <w:szCs w:val="22"/>
          <w:lang w:val="en-US"/>
        </w:rPr>
        <w:t>Selanjutnya, data yang telah dikumpulkan direduksi dan diseleksi berdasarkan relevansi dan kualitasnya. Proses reduksi ini bertujuan untuk menyaring informasi yang paling signifikan dan sesuai dengan fokus penelitian, yaitu optimisme pertumbuhan kredit di tengah ketidakpastian ekonomi global. Data yang tidak relevan atau kurang valid dikeluarkan agar analisis lebih fokus dan mendalam.</w:t>
      </w:r>
    </w:p>
    <w:p w14:paraId="418D1085" w14:textId="15D94EDC" w:rsidR="004C403F" w:rsidRPr="004C403F" w:rsidRDefault="004C403F" w:rsidP="004C403F">
      <w:pPr>
        <w:spacing w:after="240"/>
        <w:ind w:firstLine="567"/>
        <w:jc w:val="both"/>
        <w:rPr>
          <w:sz w:val="22"/>
          <w:szCs w:val="22"/>
          <w:lang w:val="en-US"/>
        </w:rPr>
      </w:pPr>
      <w:r w:rsidRPr="004C403F">
        <w:rPr>
          <w:sz w:val="22"/>
          <w:szCs w:val="22"/>
          <w:lang w:val="en-US"/>
        </w:rPr>
        <w:t>Data yang telah direduksi kemudian disajikan secara sistematis dalam bentuk narasi yang menggambarkan tren pertumbuhan kredit, kebijakan perbankan, serta faktor-faktor eksternal yang memengaruhi. Penyajian data ini memudahkan pemahaman dan interpretasi hasil studi serta memberikan gambaran komprehensif tentang kondisi perbankan nasional dalam konteks global.</w:t>
      </w:r>
      <w:r>
        <w:rPr>
          <w:sz w:val="22"/>
          <w:szCs w:val="22"/>
          <w:lang w:val="en-US"/>
        </w:rPr>
        <w:t xml:space="preserve"> </w:t>
      </w:r>
      <w:r w:rsidRPr="004C403F">
        <w:rPr>
          <w:sz w:val="22"/>
          <w:szCs w:val="22"/>
          <w:lang w:val="en-US"/>
        </w:rPr>
        <w:t>Metode studi kepustakaan ini memungkinkan peneliti untuk mengintegrasikan berbagai perspektif teoretis dan empiris yang telah ada, sehingga dapat menghasilkan pemahaman baru atau insight yang lebih mendalam tentang optimisme pertumbuhan kredit. Dengan mengkaji literatur yang luas dan terkini, penelitian ini dapat mengidentifikasi pola, tren, dan faktor-faktor kunci yang mungkin belum banyak dibahas secara simultan dalam penelitian sebelumnya.</w:t>
      </w:r>
    </w:p>
    <w:p w14:paraId="75080322" w14:textId="7C0C772B" w:rsidR="00F171CC" w:rsidRPr="001875A6" w:rsidRDefault="004C403F" w:rsidP="001875A6">
      <w:pPr>
        <w:spacing w:after="240"/>
        <w:ind w:firstLine="567"/>
        <w:jc w:val="both"/>
        <w:rPr>
          <w:sz w:val="22"/>
          <w:szCs w:val="22"/>
          <w:lang w:val="en-US"/>
        </w:rPr>
      </w:pPr>
      <w:r w:rsidRPr="004C403F">
        <w:rPr>
          <w:sz w:val="22"/>
          <w:szCs w:val="22"/>
          <w:lang w:val="en-US"/>
        </w:rPr>
        <w:t>Selain itu, studi kepustakaan memberikan fleksibilitas dalam menggabungkan data kuantitatif dan kualitatif, sehingga analisis dapat dilakukan secara holistik. Pendekatan ini juga memungkinkan untuk mengkaji dampak kebijakan makroprudensial, transformasi digital, dan dinamika ekonomi global secara simultan terhadap pertumbuhan kredit perbankan, sehingga menghasilkan insight teoretis dan praktis yang aplikatif bagi pembuat kebijakan dan pelaku industri.</w:t>
      </w:r>
      <w:r w:rsidR="001875A6">
        <w:rPr>
          <w:sz w:val="22"/>
          <w:szCs w:val="22"/>
          <w:lang w:val="en-US"/>
        </w:rPr>
        <w:t xml:space="preserve"> </w:t>
      </w:r>
      <w:r w:rsidRPr="004C403F">
        <w:rPr>
          <w:sz w:val="22"/>
          <w:szCs w:val="22"/>
          <w:lang w:val="en-US"/>
        </w:rPr>
        <w:t>Dengan demikian, metode studi kepustakaan yang dilengkapi dengan validasi data melalui triangulasi dan seleksi ketat ini sangat efektif untuk menghasilkan analisis yang komprehensif dan terpercaya mengenai optimisme pertumbuhan kredit perbankan di tengah ketidakpastian ekonomi global. Pendekatan ini tidak hanya memperkuat landasan teori, tetapi juga memberikan gambaran empiris yang kaya dan relevan untuk pengambilan keputusan strategis di sektor perbankan</w:t>
      </w:r>
      <w:r w:rsidR="000A4D03" w:rsidRPr="000A4D03">
        <w:rPr>
          <w:sz w:val="22"/>
          <w:szCs w:val="22"/>
        </w:rPr>
        <w:t>.</w:t>
      </w:r>
    </w:p>
    <w:p w14:paraId="4F6D1B53" w14:textId="77777777" w:rsidR="00F171CC" w:rsidRPr="000A4D03" w:rsidRDefault="001A25E2">
      <w:pPr>
        <w:pStyle w:val="Heading1"/>
        <w:numPr>
          <w:ilvl w:val="0"/>
          <w:numId w:val="1"/>
        </w:numPr>
        <w:spacing w:after="60"/>
        <w:ind w:left="270" w:hanging="270"/>
        <w:rPr>
          <w:i w:val="0"/>
          <w:sz w:val="22"/>
          <w:szCs w:val="22"/>
        </w:rPr>
      </w:pPr>
      <w:r w:rsidRPr="000A4D03">
        <w:rPr>
          <w:i w:val="0"/>
          <w:sz w:val="22"/>
          <w:szCs w:val="22"/>
        </w:rPr>
        <w:t>RESULTS AND DISCUSSIONS</w:t>
      </w:r>
    </w:p>
    <w:p w14:paraId="27BE0F41" w14:textId="77777777" w:rsidR="00F171CC" w:rsidRPr="000A4D03" w:rsidRDefault="001A25E2" w:rsidP="00B326C3">
      <w:pPr>
        <w:spacing w:after="60"/>
        <w:ind w:left="142"/>
        <w:jc w:val="both"/>
        <w:rPr>
          <w:b/>
          <w:sz w:val="22"/>
          <w:szCs w:val="22"/>
        </w:rPr>
      </w:pPr>
      <w:r w:rsidRPr="000A4D03">
        <w:rPr>
          <w:b/>
          <w:sz w:val="22"/>
          <w:szCs w:val="22"/>
        </w:rPr>
        <w:t>3.1 Results</w:t>
      </w:r>
    </w:p>
    <w:p w14:paraId="05C433AA" w14:textId="52FEAADE" w:rsidR="00EC7EE7" w:rsidRDefault="00EC7EE7" w:rsidP="00B326C3">
      <w:pPr>
        <w:spacing w:after="60"/>
        <w:ind w:firstLine="295"/>
        <w:jc w:val="both"/>
        <w:rPr>
          <w:sz w:val="22"/>
          <w:szCs w:val="22"/>
          <w:lang w:val="en-ID"/>
        </w:rPr>
      </w:pPr>
      <w:r w:rsidRPr="00EC7EE7">
        <w:rPr>
          <w:sz w:val="22"/>
          <w:szCs w:val="22"/>
          <w:lang w:val="en-ID"/>
        </w:rPr>
        <w:t xml:space="preserve">Pertumbuhan kredit perbankan di Indonesia pada tahun 2025 menunjukkan optimisme meskipun menghadapi ketidakpastian ekonomi global yang cukup signifikan. Data terbaru mencatat bahwa pada April 2025, pertumbuhan kredit perbankan mencapai 8,88% secara tahunan, sedikit menurun dibandingkan dengan 9,16% pada Maret 2025, namun tetap berada di zona </w:t>
      </w:r>
      <w:r w:rsidRPr="00EC7EE7">
        <w:rPr>
          <w:sz w:val="22"/>
          <w:szCs w:val="22"/>
          <w:lang w:val="en-ID"/>
        </w:rPr>
        <w:lastRenderedPageBreak/>
        <w:t>positif. Penurunan ini dipengaruhi oleh melemahnya daya beli masyarakat dan kehati-hatian perbankan dalam menyalurkan kredit, terutama pada sektor konsumsi yang dianggap lebih</w:t>
      </w:r>
      <w:r>
        <w:rPr>
          <w:sz w:val="22"/>
          <w:szCs w:val="22"/>
          <w:lang w:val="en-ID"/>
        </w:rPr>
        <w:t>.</w:t>
      </w:r>
    </w:p>
    <w:p w14:paraId="5742A7A6" w14:textId="6580A34E" w:rsidR="00EC7EE7" w:rsidRDefault="00EC7EE7" w:rsidP="00B326C3">
      <w:pPr>
        <w:spacing w:after="60"/>
        <w:ind w:firstLine="295"/>
        <w:jc w:val="both"/>
        <w:rPr>
          <w:sz w:val="22"/>
          <w:szCs w:val="22"/>
          <w:lang w:val="en-ID"/>
        </w:rPr>
      </w:pPr>
      <w:r w:rsidRPr="00EC7EE7">
        <w:rPr>
          <w:sz w:val="22"/>
          <w:szCs w:val="22"/>
          <w:lang w:val="en-ID"/>
        </w:rPr>
        <w:t>Pertumbuhan kredit perbankan di Indonesia pada April 2025 tercatat sebesar 8,88% secara tahunan (year-on-year), mengalami penurunan dibandingkan dengan 9,16% pada Maret 2025, namun tetap menunjukkan tren positif. Penurunan ini dipengaruhi oleh melemahnya daya beli masyarakat dan kehati-hatian perbankan dalam menyalurkan kredit, khususnya pada segmen kredit konsumsi yang risiko gagal bayarnya lebih tinggi. Meski demikian, pertumbuhan kredit investasi tetap kuat, mencapai 13,36% (yoy), didorong oleh sektor industri, pertambangan, dan jasa sosial yang menjadi motor utama pertumbuhan kredit.</w:t>
      </w:r>
      <w:r w:rsidRPr="00EC7EE7">
        <w:rPr>
          <w:sz w:val="22"/>
          <w:szCs w:val="22"/>
          <w:lang w:val="en-ID"/>
        </w:rPr>
        <w:fldChar w:fldCharType="begin" w:fldLock="1"/>
      </w:r>
      <w:r w:rsidR="00DE7050">
        <w:rPr>
          <w:sz w:val="22"/>
          <w:szCs w:val="22"/>
          <w:lang w:val="en-ID"/>
        </w:rPr>
        <w:instrText>ADDIN CSL_CITATION {"citationItems":[{"id":"ITEM-1","itemData":{"DOI":"10.35313/ekspansi.v11i1.1325","ISSN":"2085-5230","abstract":"Abstract: This research was conducted to analyze the effect of loan growth, loan type, interest and inflation on non-performing loan. Samples were focused on Indonesian commercial banks. Multiple regression linear analysis was used, whereas the samples were obtained using purposive sampling method. Total sample consists of 82 commercial banks with financial statements for the year of 2013 to 2017. Result shows that each variable; loan growth, loan type and interest have a positive effect on non-performing loan. On the other hand, inflation has a negative effect. Keywords: Loan Growth, Loan Type, Interest, Inflation, Non-Performing Loan.","author":[{"dropping-particle":"","family":"Saputro","given":"Arfan Rachmadias","non-dropping-particle":"","parse-names":false,"suffix":""},{"dropping-particle":"","family":"Sarumpaet","given":"Susi","non-dropping-particle":"","parse-names":false,"suffix":""},{"dropping-particle":"","family":"Prasetyo","given":"Tri Joko","non-dropping-particle":"","parse-names":false,"suffix":""}],"container-title":"Ekspansi: Jurnal Ekonomi, Keuangan, Perbankan dan Akuntansi","id":"ITEM-1","issue":"1","issued":{"date-parts":[["2019"]]},"page":"1","title":"Analisa Pengaruh Pertumbuhan Kredit, Jenis Kredit, Tingkat Bunga Pinjaman Bank Dan Inflasi Terhadap Kredit Bermasalah","type":"article-journal","volume":"11"},"uris":["http://www.mendeley.com/documents/?uuid=9344d066-e58c-42a4-8adf-e154ae211f5f","http://www.mendeley.com/documents/?uuid=c2150493-355a-42ee-818a-6206926fe7f3"]}],"mendeley":{"formattedCitation":"(Saputro, Sarumpaet, &amp; Prasetyo, 2019)","plainTextFormattedCitation":"(Saputro, Sarumpaet, &amp; Prasetyo, 2019)","previouslyFormattedCitation":"(Saputro, Sarumpaet, &amp; Prasetyo, 2019)"},"properties":{"noteIndex":0},"schema":"https://github.com/citation-style-language/schema/raw/master/csl-citation.json"}</w:instrText>
      </w:r>
      <w:r w:rsidRPr="00EC7EE7">
        <w:rPr>
          <w:sz w:val="22"/>
          <w:szCs w:val="22"/>
          <w:lang w:val="en-ID"/>
        </w:rPr>
        <w:fldChar w:fldCharType="separate"/>
      </w:r>
      <w:r w:rsidR="000A5585" w:rsidRPr="000A5585">
        <w:rPr>
          <w:sz w:val="22"/>
          <w:szCs w:val="22"/>
          <w:lang w:val="en-ID"/>
        </w:rPr>
        <w:t>(Saputro, Sarumpaet, &amp; Prasetyo, 2019)</w:t>
      </w:r>
      <w:r w:rsidRPr="00EC7EE7">
        <w:rPr>
          <w:sz w:val="22"/>
          <w:szCs w:val="22"/>
          <w:lang w:val="en-ID"/>
        </w:rPr>
        <w:fldChar w:fldCharType="end"/>
      </w:r>
    </w:p>
    <w:p w14:paraId="1F34BB65" w14:textId="77777777" w:rsidR="00EC7EE7" w:rsidRPr="00EC7EE7" w:rsidRDefault="00EC7EE7" w:rsidP="00B326C3">
      <w:pPr>
        <w:spacing w:after="60"/>
        <w:ind w:firstLine="295"/>
        <w:jc w:val="both"/>
        <w:rPr>
          <w:sz w:val="22"/>
          <w:szCs w:val="22"/>
          <w:lang w:val="en-ID"/>
        </w:rPr>
      </w:pPr>
      <w:r w:rsidRPr="00EC7EE7">
        <w:rPr>
          <w:sz w:val="22"/>
          <w:szCs w:val="22"/>
          <w:lang w:val="en-ID"/>
        </w:rPr>
        <w:t>Bank Indonesia memproyeksikan pertumbuhan kredit perbankan akan berada pada kisaran 11-13% sepanjang tahun 2025, meskipun cenderung mendekati batas bawah target tersebut akibat ketidakpastian ekonomi global yang memengaruhi permintaan kredit dan preferensi likuiditas perbankan. Kebijakan moneter akomodatif, termasuk penurunan suku bunga acuan (BI Rate) dan penguatan kebijakan makroprudensial, diharapkan dapat mendorong percepatan pertumbuhan kredit melalui penurunan biaya dana dan suku bunga kredit.</w:t>
      </w:r>
    </w:p>
    <w:p w14:paraId="0139BDD8" w14:textId="77777777" w:rsidR="00EC7EE7" w:rsidRDefault="00EC7EE7" w:rsidP="00EC7EE7">
      <w:pPr>
        <w:spacing w:after="60"/>
        <w:ind w:left="425"/>
        <w:jc w:val="both"/>
        <w:rPr>
          <w:sz w:val="22"/>
          <w:szCs w:val="22"/>
          <w:lang w:val="en-ID"/>
        </w:rPr>
      </w:pPr>
    </w:p>
    <w:p w14:paraId="69E34C1E" w14:textId="77777777" w:rsidR="00F171CC" w:rsidRPr="000A4D03" w:rsidRDefault="00F171CC">
      <w:pPr>
        <w:spacing w:line="360" w:lineRule="auto"/>
        <w:rPr>
          <w:sz w:val="22"/>
          <w:szCs w:val="22"/>
        </w:rPr>
      </w:pPr>
    </w:p>
    <w:p w14:paraId="2A452003" w14:textId="77777777" w:rsidR="00F171CC" w:rsidRPr="000A4D03" w:rsidRDefault="001A25E2" w:rsidP="00B326C3">
      <w:pPr>
        <w:spacing w:after="60"/>
        <w:ind w:left="142"/>
        <w:jc w:val="both"/>
        <w:rPr>
          <w:b/>
          <w:sz w:val="22"/>
          <w:szCs w:val="22"/>
        </w:rPr>
      </w:pPr>
      <w:r w:rsidRPr="000A4D03">
        <w:rPr>
          <w:b/>
          <w:sz w:val="22"/>
          <w:szCs w:val="22"/>
        </w:rPr>
        <w:t>3.2 Discussion</w:t>
      </w:r>
    </w:p>
    <w:p w14:paraId="3CAD5E43" w14:textId="0037EB10" w:rsidR="00EC7EE7" w:rsidRPr="00EC7EE7" w:rsidRDefault="00EC7EE7" w:rsidP="00B326C3">
      <w:pPr>
        <w:spacing w:after="240"/>
        <w:ind w:firstLine="295"/>
        <w:jc w:val="both"/>
        <w:rPr>
          <w:b/>
          <w:bCs/>
          <w:sz w:val="22"/>
          <w:szCs w:val="22"/>
          <w:lang w:val="en-ID"/>
        </w:rPr>
      </w:pPr>
      <w:r w:rsidRPr="00EC7EE7">
        <w:rPr>
          <w:sz w:val="22"/>
          <w:szCs w:val="22"/>
          <w:lang w:val="en-ID"/>
        </w:rPr>
        <w:t>Pertumbuhan Kredit yang Positif Meski Melambat,</w:t>
      </w:r>
      <w:r>
        <w:rPr>
          <w:sz w:val="22"/>
          <w:szCs w:val="22"/>
          <w:lang w:val="en-ID"/>
        </w:rPr>
        <w:t xml:space="preserve"> </w:t>
      </w:r>
      <w:r w:rsidRPr="00EC7EE7">
        <w:rPr>
          <w:sz w:val="22"/>
          <w:szCs w:val="22"/>
          <w:lang w:val="en-ID"/>
        </w:rPr>
        <w:t>Pertumbuhan kredit perbankan Indonesia pada tahun 2025 tetap menunjukkan tren positif meskipun mengalami perlambatan. Data April 2025 mencatat pertumbuhan kredit sebesar 8,88% secara tahunan, turun dari 9,16% pada bulan sebelumnya. Penurunan ini dipengaruhi oleh melemahnya daya beli masyarakat dan kehati-hatian bank dalam menyalurkan kredit, terutama pada segmen konsumsi. Namun, angka ini masih menunjukkan bahwa sektor perbankan mampu mempertahankan ekspansi kredit di tengah tantangan ekonomi global yang tidak menentu.</w:t>
      </w:r>
      <w:r w:rsidRPr="00EC7EE7">
        <w:rPr>
          <w:sz w:val="22"/>
          <w:szCs w:val="22"/>
          <w:lang w:val="en-ID"/>
        </w:rPr>
        <w:fldChar w:fldCharType="begin" w:fldLock="1"/>
      </w:r>
      <w:r w:rsidR="00DE7050">
        <w:rPr>
          <w:sz w:val="22"/>
          <w:szCs w:val="22"/>
          <w:lang w:val="en-ID"/>
        </w:rPr>
        <w:instrText>ADDIN CSL_CITATION {"citationItems":[{"id":"ITEM-1","itemData":{"DOI":"10.35313/ekspansi.v11i1.1325","ISSN":"2085-5230","abstract":"Abstract: This research was conducted to analyze the effect of loan growth, loan type, interest and inflation on non-performing loan. Samples were focused on Indonesian commercial banks. Multiple regression linear analysis was used, whereas the samples were obtained using purposive sampling method. Total sample consists of 82 commercial banks with financial statements for the year of 2013 to 2017. Result shows that each variable; loan growth, loan type and interest have a positive effect on non-performing loan. On the other hand, inflation has a negative effect. Keywords: Loan Growth, Loan Type, Interest, Inflation, Non-Performing Loan.","author":[{"dropping-particle":"","family":"Saputro","given":"Arfan Rachmadias","non-dropping-particle":"","parse-names":false,"suffix":""},{"dropping-particle":"","family":"Sarumpaet","given":"Susi","non-dropping-particle":"","parse-names":false,"suffix":""},{"dropping-particle":"","family":"Prasetyo","given":"Tri Joko","non-dropping-particle":"","parse-names":false,"suffix":""}],"container-title":"Ekspansi: Jurnal Ekonomi, Keuangan, Perbankan dan Akuntansi","id":"ITEM-1","issue":"1","issued":{"date-parts":[["2019"]]},"page":"1","title":"Analisa Pengaruh Pertumbuhan Kredit, Jenis Kredit, Tingkat Bunga Pinjaman Bank Dan Inflasi Terhadap Kredit Bermasalah","type":"article-journal","volume":"11"},"uris":["http://www.mendeley.com/documents/?uuid=c2150493-355a-42ee-818a-6206926fe7f3","http://www.mendeley.com/documents/?uuid=9344d066-e58c-42a4-8adf-e154ae211f5f"]}],"mendeley":{"formattedCitation":"(Saputro et al., 2019)","plainTextFormattedCitation":"(Saputro et al., 2019)","previouslyFormattedCitation":"(Saputro et al., 2019)"},"properties":{"noteIndex":0},"schema":"https://github.com/citation-style-language/schema/raw/master/csl-citation.json"}</w:instrText>
      </w:r>
      <w:r w:rsidRPr="00EC7EE7">
        <w:rPr>
          <w:sz w:val="22"/>
          <w:szCs w:val="22"/>
          <w:lang w:val="en-ID"/>
        </w:rPr>
        <w:fldChar w:fldCharType="separate"/>
      </w:r>
      <w:r w:rsidRPr="00EC7EE7">
        <w:rPr>
          <w:sz w:val="22"/>
          <w:szCs w:val="22"/>
          <w:lang w:val="en-ID"/>
        </w:rPr>
        <w:t>(Saputro et al., 2019)</w:t>
      </w:r>
      <w:r w:rsidRPr="00EC7EE7">
        <w:rPr>
          <w:sz w:val="22"/>
          <w:szCs w:val="22"/>
        </w:rPr>
        <w:fldChar w:fldCharType="end"/>
      </w:r>
    </w:p>
    <w:p w14:paraId="2AD095E7" w14:textId="58AFE2A1" w:rsidR="00EC7EE7" w:rsidRPr="00EC7EE7" w:rsidRDefault="00EC7EE7" w:rsidP="00B326C3">
      <w:pPr>
        <w:spacing w:after="240"/>
        <w:ind w:firstLine="295"/>
        <w:jc w:val="both"/>
        <w:rPr>
          <w:sz w:val="22"/>
          <w:szCs w:val="22"/>
          <w:lang w:val="en-ID"/>
        </w:rPr>
      </w:pPr>
      <w:r w:rsidRPr="00EC7EE7">
        <w:rPr>
          <w:sz w:val="22"/>
          <w:szCs w:val="22"/>
          <w:lang w:val="en-ID"/>
        </w:rPr>
        <w:t>Dukungan Kebijakan Moneter dan Makroprudensial,</w:t>
      </w:r>
      <w:r>
        <w:rPr>
          <w:sz w:val="22"/>
          <w:szCs w:val="22"/>
          <w:lang w:val="en-ID"/>
        </w:rPr>
        <w:t xml:space="preserve"> </w:t>
      </w:r>
      <w:r w:rsidRPr="00EC7EE7">
        <w:rPr>
          <w:sz w:val="22"/>
          <w:szCs w:val="22"/>
          <w:lang w:val="en-ID"/>
        </w:rPr>
        <w:t>Optimisme pertumbuhan kredit juga didorong oleh kebijakan moneter yang akomodatif dari Bank Indonesia</w:t>
      </w:r>
      <w:r w:rsidR="00DE6D4B">
        <w:rPr>
          <w:sz w:val="22"/>
          <w:szCs w:val="22"/>
          <w:lang w:val="en-ID"/>
        </w:rPr>
        <w:t xml:space="preserve"> </w:t>
      </w:r>
      <w:r w:rsidR="00DE6D4B">
        <w:rPr>
          <w:sz w:val="22"/>
          <w:szCs w:val="22"/>
          <w:lang w:val="en-ID"/>
        </w:rPr>
        <w:fldChar w:fldCharType="begin" w:fldLock="1"/>
      </w:r>
      <w:r w:rsidR="00DE7050">
        <w:rPr>
          <w:sz w:val="22"/>
          <w:szCs w:val="22"/>
          <w:lang w:val="en-ID"/>
        </w:rPr>
        <w:instrText>ADDIN CSL_CITATION {"citationItems":[{"id":"ITEM-1","itemData":{"DOI":"10.55681/jige.v5i1.2136","abstract":"The objectives of the research include efforts to explore the macroprudential impact on financial system stability (FSS) and economy in 5 (five) ASEAN member countries during the period 2013 to 2019. The methodology of this study is based on the application of the Mutant Method, VAR, and Ardl Panel. Analysis of the research results revealed that the variables Rii Interest Rate (SBR), Money Supply (JUB), Exchange Rate, and Loan to Depocit Ratio (LDR) simultaneously have a significant influence on Gross Domestic Product (GDP). In addition, SBR and JUB have also proven to have an impact on the inflation rate. The results also produced a panel of leading indicators, consisting of the Inflation Index (INF) and currency exchange rates, as a marker of the effectiveness of control variables on economic stability in ASEAN countries. This indicator shows that INF and exchange rates play an important role in controlling economic stability, with controls in the short to long term. These findings provide significant insight into key factors affecting economic stability in the ASEAN region, providing the basis for more effective policy formulation in the future.","author":[{"dropping-particle":"","family":"Aprillia","given":"Audre","non-dropping-particle":"","parse-names":false,"suffix":""},{"dropping-particle":"","family":"Syahfia","given":"Nurul","non-dropping-particle":"","parse-names":false,"suffix":""},{"dropping-particle":"","family":"Putri","given":"Winsi Fadiah","non-dropping-particle":"","parse-names":false,"suffix":""},{"dropping-particle":"","family":"Nasution","given":"Diwayana Putri","non-dropping-particle":"","parse-names":false,"suffix":""},{"dropping-particle":"","family":"Rusiadi","given":"Rusiadi","non-dropping-particle":"","parse-names":false,"suffix":""}],"container-title":"Jurnal Ilmiah Global Education","id":"ITEM-1","issue":"1","issued":{"date-parts":[["2024"]]},"page":"264-279","title":"Stabilitas Sistem Keuangan dan Pertumbuhan Ekonomi Melalui Kebijakan Makroprudensial di 5 Negara ASEAN","type":"article-journal","volume":"5"},"uris":["http://www.mendeley.com/documents/?uuid=ad1e5bfd-0f57-4988-ac17-372d0b9c9685","http://www.mendeley.com/documents/?uuid=28002b80-7d06-4f2f-9d3d-09605b1112d2"]}],"mendeley":{"formattedCitation":"(Aprillia, Syahfia, Putri, Nasution, &amp; Rusiadi, 2024)","plainTextFormattedCitation":"(Aprillia, Syahfia, Putri, Nasution, &amp; Rusiadi, 2024)","previouslyFormattedCitation":"(Aprillia, Syahfia, Putri, Nasution, &amp; Rusiadi, 2024)"},"properties":{"noteIndex":0},"schema":"https://github.com/citation-style-language/schema/raw/master/csl-citation.json"}</w:instrText>
      </w:r>
      <w:r w:rsidR="00DE6D4B">
        <w:rPr>
          <w:sz w:val="22"/>
          <w:szCs w:val="22"/>
          <w:lang w:val="en-ID"/>
        </w:rPr>
        <w:fldChar w:fldCharType="separate"/>
      </w:r>
      <w:r w:rsidR="00DE6D4B" w:rsidRPr="00DE6D4B">
        <w:rPr>
          <w:sz w:val="22"/>
          <w:szCs w:val="22"/>
          <w:lang w:val="en-ID"/>
        </w:rPr>
        <w:t>(Aprillia, Syahfia, Putri, Nasution, &amp; Rusiadi, 2024)</w:t>
      </w:r>
      <w:r w:rsidR="00DE6D4B">
        <w:rPr>
          <w:sz w:val="22"/>
          <w:szCs w:val="22"/>
          <w:lang w:val="en-ID"/>
        </w:rPr>
        <w:fldChar w:fldCharType="end"/>
      </w:r>
      <w:r w:rsidRPr="00EC7EE7">
        <w:rPr>
          <w:sz w:val="22"/>
          <w:szCs w:val="22"/>
          <w:lang w:val="en-ID"/>
        </w:rPr>
        <w:t>, termasuk penurunan suku bunga acuan (BI Rate) yang bertujuan menurunkan biaya dana dan suku bunga kredit</w:t>
      </w:r>
      <w:r w:rsidRPr="00EC7EE7">
        <w:rPr>
          <w:sz w:val="22"/>
          <w:szCs w:val="22"/>
          <w:lang w:val="en-ID"/>
        </w:rPr>
        <w:fldChar w:fldCharType="begin" w:fldLock="1"/>
      </w:r>
      <w:r w:rsidR="00DE7050">
        <w:rPr>
          <w:sz w:val="22"/>
          <w:szCs w:val="22"/>
          <w:lang w:val="en-ID"/>
        </w:rPr>
        <w:instrText>ADDIN CSL_CITATION {"citationItems":[{"id":"ITEM-1","itemData":{"ISSN":"2987-9078","abstract":"The global financial crisis that occurred in 2008 had a significant impact on the Indonesian economy. To face these challenges, Bank Indonesia has implemented various monetary and macroprudential policies aimed at maintaining the stability of the financial system and national economy. These policies include adjusting benchmark interest rates, strengthening foreign exchange reserves, controlling inflation, and implementing macroprudential policies that focus on managing systemic risk.In an effort to maintain the stability of the rupiah exchange rate, Bank Indonesia has intervened in the foreign exchange market and increased foreign exchange reserves. Apart from that, Bank Indonesia also strives to keep inflation at a low and stable level through controlli ng liquidity and implementing appropriate monetary policy. To overcome systemic risks, Bank Indonesia has implemented macroprudential policies which include strengthening banking regulations, supervision of non-bank financial institutions, and increasing coordination with the government and related authorities.The success of Bank Indonesia's policies in dealing with the global financial crisis has helped maintain the stability of the Indonesian financial system and economy. However, new challenges continue to emerge, so Bank Indonesia needs to continue to make adjustments and evaluate policies on an ongoing basis to ensure financial system resilience and sustainable economic growth.","author":[{"dropping-particle":"","family":"Putriana;","given":"Ayu Sa’adah; Yuni Cahya Kurniasih;","non-dropping-particle":"","parse-names":false,"suffix":""},{"dropping-particle":"","family":"Maulana","given":"Firman","non-dropping-particle":"","parse-names":false,"suffix":""}],"container-title":"Jurnal Akuntansi Keuangan dan Bisnis","id":"ITEM-1","issue":"1","issued":{"date-parts":[["2024"]]},"page":"1-3","title":"Kebijakan Bank Indonesia Dalam Menghadapi Krisis Keuangan","type":"article-journal","volume":"2"},"uris":["http://www.mendeley.com/documents/?uuid=efecb707-87c9-4be4-b763-a88700fa2be7","http://www.mendeley.com/documents/?uuid=d58f429c-2d60-4c0e-9f49-569df854f3c5"]}],"mendeley":{"formattedCitation":"(Putriana; &amp; Maulana, 2024)","plainTextFormattedCitation":"(Putriana; &amp; Maulana, 2024)","previouslyFormattedCitation":"(Putriana; &amp; Maulana, 2024)"},"properties":{"noteIndex":0},"schema":"https://github.com/citation-style-language/schema/raw/master/csl-citation.json"}</w:instrText>
      </w:r>
      <w:r w:rsidRPr="00EC7EE7">
        <w:rPr>
          <w:sz w:val="22"/>
          <w:szCs w:val="22"/>
          <w:lang w:val="en-ID"/>
        </w:rPr>
        <w:fldChar w:fldCharType="separate"/>
      </w:r>
      <w:r w:rsidRPr="00EC7EE7">
        <w:rPr>
          <w:sz w:val="22"/>
          <w:szCs w:val="22"/>
          <w:lang w:val="en-ID"/>
        </w:rPr>
        <w:t>(Putriana; &amp; Maulana, 2024)</w:t>
      </w:r>
      <w:r w:rsidRPr="00EC7EE7">
        <w:rPr>
          <w:sz w:val="22"/>
          <w:szCs w:val="22"/>
        </w:rPr>
        <w:fldChar w:fldCharType="end"/>
      </w:r>
      <w:r w:rsidRPr="00EC7EE7">
        <w:rPr>
          <w:sz w:val="22"/>
          <w:szCs w:val="22"/>
          <w:lang w:val="en-ID"/>
        </w:rPr>
        <w:t>. Selain itu, kebijakan makroprudensial yang diperkuat, seperti Kebijakan Insentif Likuiditas Makroprudensial (KLM) dan pengaturan rasio pendanaan luar negeri, memberikan dukungan likuiditas yang memadai bagi perbankan untuk menyalurkan kredit ke sektor riil. Kebijakan ini diharapkan dapat mempercepat pertumbuhan kredit sepanjang 2025.</w:t>
      </w:r>
    </w:p>
    <w:p w14:paraId="25BB6C7C" w14:textId="5337E574" w:rsidR="00EC7EE7" w:rsidRPr="00EC7EE7" w:rsidRDefault="00EC7EE7" w:rsidP="00B326C3">
      <w:pPr>
        <w:spacing w:after="240"/>
        <w:ind w:firstLine="295"/>
        <w:jc w:val="both"/>
        <w:rPr>
          <w:sz w:val="22"/>
          <w:szCs w:val="22"/>
          <w:lang w:val="en-ID"/>
        </w:rPr>
      </w:pPr>
      <w:r w:rsidRPr="00EC7EE7">
        <w:rPr>
          <w:sz w:val="22"/>
          <w:szCs w:val="22"/>
          <w:lang w:val="en-ID"/>
        </w:rPr>
        <w:t>Fokus pada Kredit Investasi dan Sektor Produktif,</w:t>
      </w:r>
      <w:r>
        <w:rPr>
          <w:sz w:val="22"/>
          <w:szCs w:val="22"/>
          <w:lang w:val="en-ID"/>
        </w:rPr>
        <w:t xml:space="preserve"> </w:t>
      </w:r>
      <w:r w:rsidRPr="00EC7EE7">
        <w:rPr>
          <w:sz w:val="22"/>
          <w:szCs w:val="22"/>
          <w:lang w:val="en-ID"/>
        </w:rPr>
        <w:t>Meskipun kredit konsumsi melambat, pertumbuhan kredit investasi tetap relatif tinggi, mencapai 13,36% (yoy) pada awal 2025. Sektor-sektor produktif seperti industri, pertambangan, dan jasa sosial menjadi pendorong utama pertumbuhan kredit</w:t>
      </w:r>
      <w:r w:rsidR="00B63AB5">
        <w:rPr>
          <w:sz w:val="22"/>
          <w:szCs w:val="22"/>
          <w:lang w:val="en-ID"/>
        </w:rPr>
        <w:fldChar w:fldCharType="begin" w:fldLock="1"/>
      </w:r>
      <w:r w:rsidR="00DE7050">
        <w:rPr>
          <w:sz w:val="22"/>
          <w:szCs w:val="22"/>
          <w:lang w:val="en-ID"/>
        </w:rPr>
        <w:instrText>ADDIN CSL_CITATION {"citationItems":[{"id":"ITEM-1","itemData":{"DOI":"10.22437/jpe.v17i2.15652","ISBN":"1700010050","ISSN":"2085-1960","abstract":"This study aims to analyze the role of investment credit in banking on economic growth. This study uses several variables, such as: investment credit, inflation, human development index, and central bank interest rates. The time span used in this study is thirty-one years from 1990-2020. This study uses quantitative methods. Based on the results of data analysis, it is concluded that the inflation variable, human development index, and the central bank interest rate together have a significant effect on the economic growth variable, while the investment credit variable has no significant effect on the economic growth variable. The coefficient of determination (adjusted R2) shows that the effect of investment credit, inflation, development index and central bank interest rate in explaining the role of investment credit is 0.8140, while the remaining 18.60% is affected by other variables not included in the study.","author":[{"dropping-particle":"","family":"Saskya Octarina","given":"Amalinda","non-dropping-particle":"","parse-names":false,"suffix":""},{"dropping-particle":"","family":"Khoirudin","given":"Rifki","non-dropping-particle":"","parse-names":false,"suffix":""}],"container-title":"Jurnal Paradigma Ekonomika","id":"ITEM-1","issue":"2","issued":{"date-parts":[["2022"]]},"page":"341-360","title":"Analisis peran kredit investasi terhadap pertumbuhan ekonomi di Indonesia","type":"article-journal","volume":"17"},"uris":["http://www.mendeley.com/documents/?uuid=c1d15a5c-7541-4c38-863d-88b62beda971","http://www.mendeley.com/documents/?uuid=3c94e105-994b-46aa-a4b4-d035163ee1be"]}],"mendeley":{"formattedCitation":"(Saskya Octarina &amp; Khoirudin, 2022)","plainTextFormattedCitation":"(Saskya Octarina &amp; Khoirudin, 2022)","previouslyFormattedCitation":"(Saskya Octarina &amp; Khoirudin, 2022)"},"properties":{"noteIndex":0},"schema":"https://github.com/citation-style-language/schema/raw/master/csl-citation.json"}</w:instrText>
      </w:r>
      <w:r w:rsidR="00B63AB5">
        <w:rPr>
          <w:sz w:val="22"/>
          <w:szCs w:val="22"/>
          <w:lang w:val="en-ID"/>
        </w:rPr>
        <w:fldChar w:fldCharType="separate"/>
      </w:r>
      <w:r w:rsidR="00B63AB5" w:rsidRPr="00B63AB5">
        <w:rPr>
          <w:sz w:val="22"/>
          <w:szCs w:val="22"/>
          <w:lang w:val="en-ID"/>
        </w:rPr>
        <w:t>(Saskya Octarina &amp; Khoirudin, 2022)</w:t>
      </w:r>
      <w:r w:rsidR="00B63AB5">
        <w:rPr>
          <w:sz w:val="22"/>
          <w:szCs w:val="22"/>
          <w:lang w:val="en-ID"/>
        </w:rPr>
        <w:fldChar w:fldCharType="end"/>
      </w:r>
      <w:r w:rsidRPr="00EC7EE7">
        <w:rPr>
          <w:sz w:val="22"/>
          <w:szCs w:val="22"/>
          <w:lang w:val="en-ID"/>
        </w:rPr>
        <w:t>. Perbankan cenderung lebih selektif dalam menyalurkan kredit konsumtif yang berisiko lebih tinggi dan memperkuat portofolio pada sektor yang lebih resilien, seperti infrastruktur, agrobisnis, dan ekspor. Strategi ini membantu menjaga kualitas kredit dan mendukung pertumbuhan ekonomi yang berkelanjutan.</w:t>
      </w:r>
      <w:r w:rsidR="00B63AB5">
        <w:rPr>
          <w:sz w:val="22"/>
          <w:szCs w:val="22"/>
          <w:lang w:val="en-ID"/>
        </w:rPr>
        <w:fldChar w:fldCharType="begin" w:fldLock="1"/>
      </w:r>
      <w:r w:rsidR="00DE7050">
        <w:rPr>
          <w:sz w:val="22"/>
          <w:szCs w:val="22"/>
          <w:lang w:val="en-ID"/>
        </w:rPr>
        <w:instrText>ADDIN CSL_CITATION {"citationItems":[{"id":"ITEM-1","itemData":{"abstract":"Healthy food is food that contains a variety of nutrients needed in the body to support growth and development and health care. The requirements for healthy food are that the food is hygienic, nutritious and sufficient. Healthy food is a necessity for every individual, including college students. However, healthy food has different meanings. This can be found in cases due to consuming food carelessly by college students. The paradigm used to answer the problem in this study is the social definition paradigm using a qualitative approach. The theory used to analyze this phenomenon is the theory of social construction by Peter L. Berger and Thomas Luckmann. There were seven informants in this study, namely college students who were studying in the city of Surabaya, both new college students and residents of the city of Surabaya. The location of this research is in the city of Surabaya. The sampling technique used was purposive technique. Data collection method in this research is by in-depth interviews and direct participation in the field. The field. The results found in research on social construction of healthy food among college students is the meaning of healthy food varies greatly based on the background of the college students. Healthy food besides being interpreted as food recommended for consumption by the medical regime, healthy food is interpreted as a counterweight to college students' eating patterns, healthy food plays a role in implementing a frugal lifestyle, and healthy food is not the main choice.","author":[{"dropping-particle":"","family":"Fadhilah","given":"Nurul Lailatul","non-dropping-particle":"","parse-names":false,"suffix":""}],"container-title":"Perpustakaan Universitas Airlangga","id":"ITEM-1","issue":"08","issued":{"date-parts":[["2020"]]},"page":"1-20","title":"analisis pertumbuhan kredit perbankan terhadap stabilitas sitem keuangan","type":"article-journal"},"uris":["http://www.mendeley.com/documents/?uuid=9540d485-78fb-4fe8-83f3-a99c7616d66c","http://www.mendeley.com/documents/?uuid=3bfc434e-f480-497d-a7d3-e37894e8f25f"]}],"mendeley":{"formattedCitation":"(Fadhilah, 2020)","plainTextFormattedCitation":"(Fadhilah, 2020)","previouslyFormattedCitation":"(Fadhilah, 2020)"},"properties":{"noteIndex":0},"schema":"https://github.com/citation-style-language/schema/raw/master/csl-citation.json"}</w:instrText>
      </w:r>
      <w:r w:rsidR="00B63AB5">
        <w:rPr>
          <w:sz w:val="22"/>
          <w:szCs w:val="22"/>
          <w:lang w:val="en-ID"/>
        </w:rPr>
        <w:fldChar w:fldCharType="separate"/>
      </w:r>
      <w:r w:rsidR="00B63AB5" w:rsidRPr="00B63AB5">
        <w:rPr>
          <w:sz w:val="22"/>
          <w:szCs w:val="22"/>
          <w:lang w:val="en-ID"/>
        </w:rPr>
        <w:t>(Fadhilah, 2020)</w:t>
      </w:r>
      <w:r w:rsidR="00B63AB5">
        <w:rPr>
          <w:sz w:val="22"/>
          <w:szCs w:val="22"/>
          <w:lang w:val="en-ID"/>
        </w:rPr>
        <w:fldChar w:fldCharType="end"/>
      </w:r>
    </w:p>
    <w:p w14:paraId="7DD16495" w14:textId="004143F7" w:rsidR="00EC7EE7" w:rsidRPr="00EC7EE7" w:rsidRDefault="00EC7EE7" w:rsidP="00B326C3">
      <w:pPr>
        <w:spacing w:after="240"/>
        <w:ind w:firstLine="295"/>
        <w:jc w:val="both"/>
        <w:rPr>
          <w:sz w:val="22"/>
          <w:szCs w:val="22"/>
          <w:lang w:val="en-ID"/>
        </w:rPr>
      </w:pPr>
      <w:r w:rsidRPr="00EC7EE7">
        <w:rPr>
          <w:sz w:val="22"/>
          <w:szCs w:val="22"/>
          <w:lang w:val="en-ID"/>
        </w:rPr>
        <w:t xml:space="preserve">Pengaruh Ketidakpastian Ekonomi Global, Ketidakpastian ekonomi global, termasuk fluktuasi pasar keuangan dan tekanan inflasi di berbagai negara, memberikan tantangan tersendiri bagi pertumbuhan kredit perbankan domestik. Risiko tersebut memengaruhi permintaan kredit dan </w:t>
      </w:r>
      <w:r w:rsidRPr="00EC7EE7">
        <w:rPr>
          <w:sz w:val="22"/>
          <w:szCs w:val="22"/>
          <w:lang w:val="en-ID"/>
        </w:rPr>
        <w:lastRenderedPageBreak/>
        <w:t>preferensi bank dalam mengelola likuiditas serta risiko kredit</w:t>
      </w:r>
      <w:r w:rsidRPr="00EC7EE7">
        <w:rPr>
          <w:sz w:val="22"/>
          <w:szCs w:val="22"/>
          <w:lang w:val="en-ID"/>
        </w:rPr>
        <w:fldChar w:fldCharType="begin" w:fldLock="1"/>
      </w:r>
      <w:r w:rsidR="00DE7050">
        <w:rPr>
          <w:sz w:val="22"/>
          <w:szCs w:val="22"/>
          <w:lang w:val="en-ID"/>
        </w:rPr>
        <w:instrText>ADDIN CSL_CITATION {"citationItems":[{"id":"ITEM-1","itemData":{"DOI":"10.31602/atd.v6i2.6897","ISSN":"1979-1127","abstract":"… Otoritas moneter di seluruh dunia memiliki peranan mengontrol inflasi, … yang di bawah naungan dari OJK (Otoritas Jasa Keuangan). … Karena hal tersebut, bank sentral di seluruh dunia …","author":[{"dropping-particle":"","family":"Firmansyah","given":"Muhammad","non-dropping-particle":"","parse-names":false,"suffix":""}],"container-title":"At-Tadbir : jurnal ilmiah manajemen","id":"ITEM-1","issue":"2","issued":{"date-parts":[["2022"]]},"page":"191","title":"Efektivitas Transmisi Kebijakan Moneter Melalui Jalur Kredit Perbankan Dan Harga Aset Dalam Mencapai Inflasi","type":"article-journal","volume":"6"},"uris":["http://www.mendeley.com/documents/?uuid=a57efe32-dc54-46b9-b113-82d5093d7a29","http://www.mendeley.com/documents/?uuid=37a6f96d-4a25-4487-9bcb-75872bea3089"]}],"mendeley":{"formattedCitation":"(Firmansyah, 2022)","plainTextFormattedCitation":"(Firmansyah, 2022)","previouslyFormattedCitation":"(Firmansyah, 2022)"},"properties":{"noteIndex":0},"schema":"https://github.com/citation-style-language/schema/raw/master/csl-citation.json"}</w:instrText>
      </w:r>
      <w:r w:rsidRPr="00EC7EE7">
        <w:rPr>
          <w:sz w:val="22"/>
          <w:szCs w:val="22"/>
          <w:lang w:val="en-ID"/>
        </w:rPr>
        <w:fldChar w:fldCharType="separate"/>
      </w:r>
      <w:r w:rsidRPr="00EC7EE7">
        <w:rPr>
          <w:sz w:val="22"/>
          <w:szCs w:val="22"/>
          <w:lang w:val="en-ID"/>
        </w:rPr>
        <w:t>(Firmansyah, 2022)</w:t>
      </w:r>
      <w:r w:rsidRPr="00EC7EE7">
        <w:rPr>
          <w:sz w:val="22"/>
          <w:szCs w:val="22"/>
        </w:rPr>
        <w:fldChar w:fldCharType="end"/>
      </w:r>
      <w:r w:rsidRPr="00EC7EE7">
        <w:rPr>
          <w:sz w:val="22"/>
          <w:szCs w:val="22"/>
          <w:lang w:val="en-ID"/>
        </w:rPr>
        <w:t>. Bank Indonesia dan otoritas terkait terus memantau perkembangan global dan menyesuaikan kebijakan untuk menjaga stabilitas sistem keuangan serta mendorong pertumbuhan kredit yang sehat.</w:t>
      </w:r>
    </w:p>
    <w:p w14:paraId="221A0964" w14:textId="0EFFC030" w:rsidR="00EC7EE7" w:rsidRDefault="00EC7EE7" w:rsidP="00B326C3">
      <w:pPr>
        <w:spacing w:after="240"/>
        <w:ind w:firstLine="295"/>
        <w:jc w:val="both"/>
        <w:rPr>
          <w:sz w:val="22"/>
          <w:szCs w:val="22"/>
          <w:lang w:val="en-ID"/>
        </w:rPr>
      </w:pPr>
      <w:r w:rsidRPr="00EC7EE7">
        <w:rPr>
          <w:sz w:val="22"/>
          <w:szCs w:val="22"/>
          <w:lang w:val="en-ID"/>
        </w:rPr>
        <w:t>Proyeksi Pertumbuhan Kredit dan Harapan Pemulihan Ekonomi,</w:t>
      </w:r>
      <w:r>
        <w:rPr>
          <w:sz w:val="22"/>
          <w:szCs w:val="22"/>
          <w:lang w:val="en-ID"/>
        </w:rPr>
        <w:t xml:space="preserve"> </w:t>
      </w:r>
      <w:r w:rsidRPr="00EC7EE7">
        <w:rPr>
          <w:sz w:val="22"/>
          <w:szCs w:val="22"/>
          <w:lang w:val="en-ID"/>
        </w:rPr>
        <w:t>Bank Indonesia memproyeksikan pertumbuhan kredit perbankan pada 2025 akan berada di kisaran 11-13%, meskipun cenderung mendekati batas bawah target tersebut. Proyeksi ini mencerminkan optimisme yang didasarkan pada kebijakan yang tepat waktu dan fundamental ekonomi domestik yang relatif stabil. Pertumbuhan kredit yang berkelanjutan diharapkan dapat mendukung pemulihan ekonomi nasional dan memperkuat daya tahan sektor keuangan di tengah ketidakpastian global.</w:t>
      </w:r>
    </w:p>
    <w:p w14:paraId="1FB2A4F0" w14:textId="4A9F034B" w:rsidR="00D031D6" w:rsidRDefault="00D031D6" w:rsidP="00B326C3">
      <w:pPr>
        <w:spacing w:after="240"/>
        <w:ind w:firstLine="295"/>
        <w:jc w:val="both"/>
        <w:rPr>
          <w:sz w:val="22"/>
          <w:szCs w:val="22"/>
        </w:rPr>
      </w:pPr>
      <w:r w:rsidRPr="00D031D6">
        <w:rPr>
          <w:sz w:val="22"/>
          <w:szCs w:val="22"/>
        </w:rPr>
        <w:t>Permintaan kredit yang masih lemah menjadi faktor kedua yang memengaruhi perlambatan pertumbuhan kredit. Kondisi sektor riil yang belum sepenuhnya ekspansif membuat dunia usaha cenderung berhati-hati dalam melakukan ekspansi dan investasi. Hal ini tercermin dari perlambatan pertumbuhan kredit modal kerja dan investasi</w:t>
      </w:r>
      <w:r w:rsidR="00B63AB5">
        <w:rPr>
          <w:sz w:val="22"/>
          <w:szCs w:val="22"/>
        </w:rPr>
        <w:fldChar w:fldCharType="begin" w:fldLock="1"/>
      </w:r>
      <w:r w:rsidR="00DE7050">
        <w:rPr>
          <w:sz w:val="22"/>
          <w:szCs w:val="22"/>
        </w:rPr>
        <w:instrText>ADDIN CSL_CITATION {"citationItems":[{"id":"ITEM-1","itemData":{"DOI":"10.22437/jpe.v17i2.15652","ISBN":"1700010050","ISSN":"2085-1960","abstract":"This study aims to analyze the role of investment credit in banking on economic growth. This study uses several variables, such as: investment credit, inflation, human development index, and central bank interest rates. The time span used in this study is thirty-one years from 1990-2020. This study uses quantitative methods. Based on the results of data analysis, it is concluded that the inflation variable, human development index, and the central bank interest rate together have a significant effect on the economic growth variable, while the investment credit variable has no significant effect on the economic growth variable. The coefficient of determination (adjusted R2) shows that the effect of investment credit, inflation, development index and central bank interest rate in explaining the role of investment credit is 0.8140, while the remaining 18.60% is affected by other variables not included in the study.","author":[{"dropping-particle":"","family":"Saskya Octarina","given":"Amalinda","non-dropping-particle":"","parse-names":false,"suffix":""},{"dropping-particle":"","family":"Khoirudin","given":"Rifki","non-dropping-particle":"","parse-names":false,"suffix":""}],"container-title":"Jurnal Paradigma Ekonomika","id":"ITEM-1","issue":"2","issued":{"date-parts":[["2022"]]},"page":"341-360","title":"Analisis peran kredit investasi terhadap pertumbuhan ekonomi di Indonesia","type":"article-journal","volume":"17"},"uris":["http://www.mendeley.com/documents/?uuid=3c94e105-994b-46aa-a4b4-d035163ee1be","http://www.mendeley.com/documents/?uuid=c1d15a5c-7541-4c38-863d-88b62beda971"]}],"mendeley":{"formattedCitation":"(Saskya Octarina &amp; Khoirudin, 2022)","plainTextFormattedCitation":"(Saskya Octarina &amp; Khoirudin, 2022)","previouslyFormattedCitation":"(Saskya Octarina &amp; Khoirudin, 2022)"},"properties":{"noteIndex":0},"schema":"https://github.com/citation-style-language/schema/raw/master/csl-citation.json"}</w:instrText>
      </w:r>
      <w:r w:rsidR="00B63AB5">
        <w:rPr>
          <w:sz w:val="22"/>
          <w:szCs w:val="22"/>
        </w:rPr>
        <w:fldChar w:fldCharType="separate"/>
      </w:r>
      <w:r w:rsidR="00B63AB5" w:rsidRPr="00B63AB5">
        <w:rPr>
          <w:sz w:val="22"/>
          <w:szCs w:val="22"/>
        </w:rPr>
        <w:t>(Saskya Octarina &amp; Khoirudin, 2022)</w:t>
      </w:r>
      <w:r w:rsidR="00B63AB5">
        <w:rPr>
          <w:sz w:val="22"/>
          <w:szCs w:val="22"/>
        </w:rPr>
        <w:fldChar w:fldCharType="end"/>
      </w:r>
      <w:r w:rsidRPr="00D031D6">
        <w:rPr>
          <w:sz w:val="22"/>
          <w:szCs w:val="22"/>
        </w:rPr>
        <w:t>, yang menjadi komponen utama permintaan kredit perbankan. Misalnya, pertumbuhan kredit investasi turun dari 14,62 persen yoy menjadi 13,36 persen yoy pada Maret 2025, sementara kredit modal kerja juga melambat dari 7,66 persen yoy menjadi 6,51 persen yoy. Faktor ketidakpastian global seperti konflik geopolitik, perang dagang, dan fluktuasi harga komoditas turut memperkuat sikap wait and see pelaku usaha</w:t>
      </w:r>
      <w:r>
        <w:rPr>
          <w:sz w:val="22"/>
          <w:szCs w:val="22"/>
        </w:rPr>
        <w:t>.</w:t>
      </w:r>
      <w:r w:rsidR="00B63AB5">
        <w:rPr>
          <w:sz w:val="22"/>
          <w:szCs w:val="22"/>
        </w:rPr>
        <w:fldChar w:fldCharType="begin" w:fldLock="1"/>
      </w:r>
      <w:r w:rsidR="00DE7050">
        <w:rPr>
          <w:sz w:val="22"/>
          <w:szCs w:val="22"/>
        </w:rPr>
        <w:instrText>ADDIN CSL_CITATION {"citationItems":[{"id":"ITEM-1","itemData":{"DOI":"10.55681/jige.v5i1.2136","abstract":"The objectives of the research include efforts to explore the macroprudential impact on financial system stability (FSS) and economy in 5 (five) ASEAN member countries during the period 2013 to 2019. The methodology of this study is based on the application of the Mutant Method, VAR, and Ardl Panel. Analysis of the research results revealed that the variables Rii Interest Rate (SBR), Money Supply (JUB), Exchange Rate, and Loan to Depocit Ratio (LDR) simultaneously have a significant influence on Gross Domestic Product (GDP). In addition, SBR and JUB have also proven to have an impact on the inflation rate. The results also produced a panel of leading indicators, consisting of the Inflation Index (INF) and currency exchange rates, as a marker of the effectiveness of control variables on economic stability in ASEAN countries. This indicator shows that INF and exchange rates play an important role in controlling economic stability, with controls in the short to long term. These findings provide significant insight into key factors affecting economic stability in the ASEAN region, providing the basis for more effective policy formulation in the future.","author":[{"dropping-particle":"","family":"Aprillia","given":"Audre","non-dropping-particle":"","parse-names":false,"suffix":""},{"dropping-particle":"","family":"Syahfia","given":"Nurul","non-dropping-particle":"","parse-names":false,"suffix":""},{"dropping-particle":"","family":"Putri","given":"Winsi Fadiah","non-dropping-particle":"","parse-names":false,"suffix":""},{"dropping-particle":"","family":"Nasution","given":"Diwayana Putri","non-dropping-particle":"","parse-names":false,"suffix":""},{"dropping-particle":"","family":"Rusiadi","given":"Rusiadi","non-dropping-particle":"","parse-names":false,"suffix":""}],"container-title":"Jurnal Ilmiah Global Education","id":"ITEM-1","issue":"1","issued":{"date-parts":[["2024"]]},"page":"264-279","title":"Stabilitas Sistem Keuangan dan Pertumbuhan Ekonomi Melalui Kebijakan Makroprudensial di 5 Negara ASEAN","type":"article-journal","volume":"5"},"uris":["http://www.mendeley.com/documents/?uuid=28002b80-7d06-4f2f-9d3d-09605b1112d2","http://www.mendeley.com/documents/?uuid=ad1e5bfd-0f57-4988-ac17-372d0b9c9685"]}],"mendeley":{"formattedCitation":"(Aprillia et al., 2024)","plainTextFormattedCitation":"(Aprillia et al., 2024)","previouslyFormattedCitation":"(Aprillia et al., 2024)"},"properties":{"noteIndex":0},"schema":"https://github.com/citation-style-language/schema/raw/master/csl-citation.json"}</w:instrText>
      </w:r>
      <w:r w:rsidR="00B63AB5">
        <w:rPr>
          <w:sz w:val="22"/>
          <w:szCs w:val="22"/>
        </w:rPr>
        <w:fldChar w:fldCharType="separate"/>
      </w:r>
      <w:r w:rsidR="00B63AB5" w:rsidRPr="00B63AB5">
        <w:rPr>
          <w:sz w:val="22"/>
          <w:szCs w:val="22"/>
        </w:rPr>
        <w:t>(Aprillia et al., 2024)</w:t>
      </w:r>
      <w:r w:rsidR="00B63AB5">
        <w:rPr>
          <w:sz w:val="22"/>
          <w:szCs w:val="22"/>
        </w:rPr>
        <w:fldChar w:fldCharType="end"/>
      </w:r>
    </w:p>
    <w:p w14:paraId="2BD8B16F" w14:textId="4656FF42" w:rsidR="00D031D6" w:rsidRPr="00EC7EE7" w:rsidRDefault="00D031D6" w:rsidP="00B326C3">
      <w:pPr>
        <w:spacing w:after="240"/>
        <w:ind w:firstLine="295"/>
        <w:jc w:val="both"/>
        <w:rPr>
          <w:sz w:val="22"/>
          <w:szCs w:val="22"/>
        </w:rPr>
      </w:pPr>
      <w:r w:rsidRPr="00D031D6">
        <w:rPr>
          <w:sz w:val="22"/>
          <w:szCs w:val="22"/>
        </w:rPr>
        <w:t>Pola musiman dan siklus ekonomi juga berperan dalam perlambatan pertumbuhan kredit di awal tahun. Biasanya, kuartal pertama cenderung mengalami pertumbuhan kredit yang lebih rendah dibandingkan kuartal berikutnya karena aktivitas ekonomi dan investasi yang baru mulai berjalan setelah periode liburan dan penyesuaian anggaran</w:t>
      </w:r>
      <w:r w:rsidR="003B2EC2">
        <w:rPr>
          <w:sz w:val="22"/>
          <w:szCs w:val="22"/>
        </w:rPr>
        <w:fldChar w:fldCharType="begin" w:fldLock="1"/>
      </w:r>
      <w:r w:rsidR="00DE7050">
        <w:rPr>
          <w:sz w:val="22"/>
          <w:szCs w:val="22"/>
        </w:rPr>
        <w:instrText>ADDIN CSL_CITATION {"citationItems":[{"id":"ITEM-1","itemData":{"DOI":"10.47065/ekuitas.v4i3.2708","abstract":"This study aims to determine the effect of the use of bank credit and the growth of the manufacturing industry on economic growth in Indonesia. There are two independent variables, namely banking credit and the manufacturing industry, and the dependent variable, namely economic growth. The method used in this research is descriptive with a quantitative approach. The type of data in this study is time series data with a time period from 2011-2021. Data sources were obtained through the Indonesian Central Bureau of Statistics and Banking Statistics. The analysis technique applied in this study is multiple linear regression. The analysis tool used was Eviews 12. The results showed that the use of bank credit had a positive and significant effect on economic growth. The manufacturing industry growth variable has a negative and insignificant effect on economic growth in Indonesia.","author":[{"dropping-particle":"","family":"Sulistiyani","given":"Indah","non-dropping-particle":"","parse-names":false,"suffix":""},{"dropping-particle":"","family":"Muslinawati","given":"Retno","non-dropping-particle":"","parse-names":false,"suffix":""}],"container-title":"Ekonomi, Keuangan, Investasi dan Syariah (EKUITAS)","id":"ITEM-1","issue":"3","issued":{"date-parts":[["2023"]]},"page":"843-849","title":"Pengaruh Penggunaan Kredit Perbankan dan Pertumbuhan Industri Manufaktur Terhadap Pertumbuhan Ekonomi Indonesia","type":"article-journal","volume":"4"},"uris":["http://www.mendeley.com/documents/?uuid=76bc5d45-eae7-421e-a7b9-4d716223f45d","http://www.mendeley.com/documents/?uuid=f308cf59-b18c-4021-8712-5a3e54fcda6e"]}],"mendeley":{"formattedCitation":"(Sulistiyani &amp; Muslinawati, 2023)","plainTextFormattedCitation":"(Sulistiyani &amp; Muslinawati, 2023)","previouslyFormattedCitation":"(Sulistiyani &amp; Muslinawati, 2023)"},"properties":{"noteIndex":0},"schema":"https://github.com/citation-style-language/schema/raw/master/csl-citation.json"}</w:instrText>
      </w:r>
      <w:r w:rsidR="003B2EC2">
        <w:rPr>
          <w:sz w:val="22"/>
          <w:szCs w:val="22"/>
        </w:rPr>
        <w:fldChar w:fldCharType="separate"/>
      </w:r>
      <w:r w:rsidR="003B2EC2" w:rsidRPr="003B2EC2">
        <w:rPr>
          <w:sz w:val="22"/>
          <w:szCs w:val="22"/>
        </w:rPr>
        <w:t>(Sulistiyani &amp; Muslinawati, 2023)</w:t>
      </w:r>
      <w:r w:rsidR="003B2EC2">
        <w:rPr>
          <w:sz w:val="22"/>
          <w:szCs w:val="22"/>
        </w:rPr>
        <w:fldChar w:fldCharType="end"/>
      </w:r>
      <w:r w:rsidRPr="00D031D6">
        <w:rPr>
          <w:sz w:val="22"/>
          <w:szCs w:val="22"/>
        </w:rPr>
        <w:t>. OJK menilai perlambatan ini bersifat siklikal dan optimistis bahwa kredit akan kembali tumbuh lebih tinggi pada kuartal berikutnya, terutama dengan dukungan stabilitas makroekonomi yang semakin membaik, seperti penguatan nilai tukar Rupiah, penurunan suku bunga acuan BI ke 5,5 persen, serta penurunan tingkat bunga penjaminan oleh LPS</w:t>
      </w:r>
      <w:r w:rsidR="00B63AB5">
        <w:rPr>
          <w:sz w:val="22"/>
          <w:szCs w:val="22"/>
        </w:rPr>
        <w:fldChar w:fldCharType="begin" w:fldLock="1"/>
      </w:r>
      <w:r w:rsidR="00206286">
        <w:rPr>
          <w:sz w:val="22"/>
          <w:szCs w:val="22"/>
        </w:rPr>
        <w:instrText>ADDIN CSL_CITATION {"citationItems":[{"id":"ITEM-1","itemData":{"abstract":"… mengetahui faktor internal penyebab kredit macet pada koperasi CU… faktor internal penyebab kredit macet pada koperasi CU. … membayar bunga pada waktunya, tetapi suku bunga yang …","author":[{"dropping-particle":"","family":"Telaumbanua","given":"Anita R.C","non-dropping-particle":"","parse-names":false,"suffix":""},{"dropping-particle":"","family":"Fau","given":"Samanoi H.","non-dropping-particle":"","parse-names":false,"suffix":""},{"dropping-particle":"","family":"Gohae","given":"Anskaria S.","non-dropping-particle":"","parse-names":false,"suffix":""}],"container-title":"Balance: Jurnal Riset Akuntansi dan Bisinis","id":"ITEM-1","issued":{"date-parts":[["2022"]]},"page":"33-44","title":"Analisis Faktor-Faktor Penyebab Kredit Macet Pada Cu. Faomasi Kecamatan Telukdalam Kabupaten Nias Selatan","type":"article-journal","volume":"5"},"uris":["http://www.mendeley.com/documents/?uuid=f7e7e88d-0334-4672-8e95-99ebb2986ef6","http://www.mendeley.com/documents/?uuid=8af7da97-76bc-482e-8c32-7bb6bbcdc33c"]}],"mendeley":{"formattedCitation":"(Telaumbanua, Fau, &amp; Gohae, 2022)","plainTextFormattedCitation":"(Telaumbanua, Fau, &amp; Gohae, 2022)","previouslyFormattedCitation":"(Telaumbanua, Fau, &amp; Gohae, 2022)"},"properties":{"noteIndex":0},"schema":"https://github.com/citation-style-language/schema/raw/master/csl-citation.json"}</w:instrText>
      </w:r>
      <w:r w:rsidR="00B63AB5">
        <w:rPr>
          <w:sz w:val="22"/>
          <w:szCs w:val="22"/>
        </w:rPr>
        <w:fldChar w:fldCharType="separate"/>
      </w:r>
      <w:r w:rsidR="00DE7050" w:rsidRPr="00DE7050">
        <w:rPr>
          <w:sz w:val="22"/>
          <w:szCs w:val="22"/>
        </w:rPr>
        <w:t>(Telaumbanua, Fau, &amp; Gohae, 2022)</w:t>
      </w:r>
      <w:r w:rsidR="00B63AB5">
        <w:rPr>
          <w:sz w:val="22"/>
          <w:szCs w:val="22"/>
        </w:rPr>
        <w:fldChar w:fldCharType="end"/>
      </w:r>
    </w:p>
    <w:p w14:paraId="1E0B91ED" w14:textId="3036D950" w:rsidR="005678D1" w:rsidRPr="005678D1" w:rsidRDefault="005678D1" w:rsidP="00B326C3">
      <w:pPr>
        <w:spacing w:after="240"/>
        <w:ind w:firstLine="295"/>
        <w:jc w:val="both"/>
        <w:rPr>
          <w:sz w:val="22"/>
          <w:szCs w:val="22"/>
          <w:lang w:val="en-US"/>
        </w:rPr>
      </w:pPr>
      <w:r w:rsidRPr="005678D1">
        <w:rPr>
          <w:sz w:val="22"/>
          <w:szCs w:val="22"/>
        </w:rPr>
        <w:t>Sebagai upaya mitigasi risiko, perbankan cenderung memperkuat fokus pada penyaluran kredit ke sektor-sektor produktif yang memiliki daya tahan lebih baik terhadap gejolak ekonomi. Sektor infrastruktur, agrobisnis, dan ekspor menjadi pilihan utama karena sektor-sektor ini memiliki peran strategis dalam mendorong pertumbuhan ekonomi nasional dan cenderung lebih stabil dalam menghadapi tekanan eksternal. Kredit yang disalurkan ke sektor-sektor ini tidak hanya meningkatkan produktivitas dan kapasitas nasional, tetapi juga membantu memperkuat ketahanan ekonomi secara keseluruhan</w:t>
      </w:r>
      <w:r w:rsidRPr="005678D1">
        <w:rPr>
          <w:sz w:val="22"/>
          <w:szCs w:val="22"/>
          <w:lang w:val="en-US"/>
        </w:rPr>
        <w:fldChar w:fldCharType="begin" w:fldLock="1"/>
      </w:r>
      <w:r w:rsidR="00DE7050">
        <w:rPr>
          <w:sz w:val="22"/>
          <w:szCs w:val="22"/>
        </w:rPr>
        <w:instrText>ADDIN CSL_CITATION {"citationItems":[{"id":"ITEM-1","itemData":{"DOI":"10.33087/ekonomis.v6i2.566","abstract":"Islamic banking is a banking system whose implementation is based on Islamic law. Financial institutions whose operational activities and products adhere to Islamic principles based on Islamic principles Quran and Hadith. The characteristics of Islamic banking are actually based on the core product of profit-sharing financing developed in the product musyarakah and mudharabah financing. The presence of Islamic banking should have a major impact on real sector growth. One unit Businesses that need to be developed to encourage real sector growth are Micro, Small and Medium Enterprises (MSMEs) which in the current national economy has a very important position, because of its contribution to employment and Gross Domestic Product (GDP). As well as its flexibility and toughness in facing an economic crisis. The role of working capital microfinance plays an important role in providing guidance to (MSMEs) to develop businesses, provide consulting on business development and facilitating the existence of a place of business in the Palembang city.","author":[{"dropping-particle":"","family":"Aryanti","given":"Faadhilla Putri","non-dropping-particle":"","parse-names":false,"suffix":""},{"dropping-particle":"","family":"Nurhalizah","given":"Fachradita","non-dropping-particle":"","parse-names":false,"suffix":""},{"dropping-particle":"","family":"Jannah","given":"Hayatull","non-dropping-particle":"","parse-names":false,"suffix":""}],"container-title":"Ekonomis: Journal of Economics and Business","id":"ITEM-1","issue":"2","issued":{"date-parts":[["2022"]]},"page":"699","title":"Pengaruh Kontribusi Pembiayaan Mikro Modal Kerja di dalam Lembaga Keuangan Perbankan Syariah terhadap Pengembangan Usaha Mikro Kecil dan Menengah (UMKM) di Kota Palembang (Studi Kasus Bank Syariah Indonesia KC Demang)","type":"article-journal","volume":"6"},"uris":["http://www.mendeley.com/documents/?uuid=07b0d075-acd3-4e07-908c-78c4ce70a5e8","http://www.mendeley.com/documents/?uuid=d663879f-20a5-47bd-9fa8-fedd0266e130"]}],"mendeley":{"formattedCitation":"(Aryanti, Nurhalizah, &amp; Jannah, 2022)","plainTextFormattedCitation":"(Aryanti, Nurhalizah, &amp; Jannah, 2022)","previouslyFormattedCitation":"(Aryanti, Nurhalizah, &amp; Jannah, 2022)"},"properties":{"noteIndex":0},"schema":"https://github.com/citation-style-language/schema/raw/master/csl-citation.json"}</w:instrText>
      </w:r>
      <w:r w:rsidRPr="005678D1">
        <w:rPr>
          <w:sz w:val="22"/>
          <w:szCs w:val="22"/>
          <w:lang w:val="en-US"/>
        </w:rPr>
        <w:fldChar w:fldCharType="separate"/>
      </w:r>
      <w:r w:rsidRPr="00F85689">
        <w:rPr>
          <w:sz w:val="22"/>
          <w:szCs w:val="22"/>
        </w:rPr>
        <w:t>(Aryanti, Nurhalizah, &amp; Jannah, 2022)</w:t>
      </w:r>
      <w:r w:rsidRPr="005678D1">
        <w:rPr>
          <w:sz w:val="22"/>
          <w:szCs w:val="22"/>
        </w:rPr>
        <w:fldChar w:fldCharType="end"/>
      </w:r>
      <w:r w:rsidRPr="005678D1">
        <w:rPr>
          <w:sz w:val="22"/>
          <w:szCs w:val="22"/>
          <w:lang w:val="en-US"/>
        </w:rPr>
        <w:t>.</w:t>
      </w:r>
    </w:p>
    <w:p w14:paraId="6FFF25F1" w14:textId="08B2BE19" w:rsidR="005678D1" w:rsidRDefault="005678D1" w:rsidP="00B326C3">
      <w:pPr>
        <w:spacing w:after="240"/>
        <w:ind w:firstLine="295"/>
        <w:jc w:val="both"/>
        <w:rPr>
          <w:sz w:val="22"/>
          <w:szCs w:val="22"/>
          <w:lang w:val="en-US"/>
        </w:rPr>
      </w:pPr>
      <w:r w:rsidRPr="005678D1">
        <w:rPr>
          <w:sz w:val="22"/>
          <w:szCs w:val="22"/>
          <w:lang w:val="en-US"/>
        </w:rPr>
        <w:t>Selain itu, transformasi digital yang terus berjalan di sektor perbankan turut memperkuat efisiensi operasional dan memperluas akses layanan keuangan bagi masyarakat dan pelaku usaha. Teknologi digital memungkinkan proses kredit menjadi lebih cepat, transparan, dan akurat, sehingga memudahkan bank dalam menilai risiko dan mengelola portofolio kredit secara lebih efektif</w:t>
      </w:r>
      <w:r w:rsidR="003B2EC2">
        <w:rPr>
          <w:sz w:val="22"/>
          <w:szCs w:val="22"/>
          <w:lang w:val="en-US"/>
        </w:rPr>
        <w:fldChar w:fldCharType="begin" w:fldLock="1"/>
      </w:r>
      <w:r w:rsidR="00DE7050">
        <w:rPr>
          <w:sz w:val="22"/>
          <w:szCs w:val="22"/>
          <w:lang w:val="en-US"/>
        </w:rPr>
        <w:instrText>ADDIN CSL_CITATION {"citationItems":[{"id":"ITEM-1","itemData":{"abstract":"Usaha Mikro, Kecil, Menengah di Indonesia setiap tahunnya mengalami peningkatan jumlah unit industri dan peningkatan jumlah kredit yang disalurkan pada industri kecil. UMKM merupakan salah satu penguat perekonomian bangsa yang memiliki potensi pasar …","author":[{"dropping-particle":"","family":"Pratiwi","given":"I M","non-dropping-particle":"","parse-names":false,"suffix":""}],"container-title":"Jurnal Ekonomi, Manajemen dan Perbankan","id":"ITEM-1","issue":"6","issued":{"date-parts":[["2017"]]},"title":"Analisis Pengaruh Pemberian Kredit Mikro Kepada UMKM Terhadap Pertumbuhan Ekonomi Di Indonesia Periode 2010-2015 Pada Bank Penyalur Kredit Usaha …","type":"article-journal","volume":"8114"},"uris":["http://www.mendeley.com/documents/?uuid=2e4d2373-e4c0-4724-a724-f5de3f90ee24","http://www.mendeley.com/documents/?uuid=7284df4a-b35d-4113-8966-a75b3fa87c3b"]}],"mendeley":{"formattedCitation":"(Pratiwi, 2017)","plainTextFormattedCitation":"(Pratiwi, 2017)","previouslyFormattedCitation":"(Pratiwi, 2017)"},"properties":{"noteIndex":0},"schema":"https://github.com/citation-style-language/schema/raw/master/csl-citation.json"}</w:instrText>
      </w:r>
      <w:r w:rsidR="003B2EC2">
        <w:rPr>
          <w:sz w:val="22"/>
          <w:szCs w:val="22"/>
          <w:lang w:val="en-US"/>
        </w:rPr>
        <w:fldChar w:fldCharType="separate"/>
      </w:r>
      <w:r w:rsidR="003B2EC2" w:rsidRPr="003B2EC2">
        <w:rPr>
          <w:sz w:val="22"/>
          <w:szCs w:val="22"/>
          <w:lang w:val="en-US"/>
        </w:rPr>
        <w:t>(Pratiwi, 2017)</w:t>
      </w:r>
      <w:r w:rsidR="003B2EC2">
        <w:rPr>
          <w:sz w:val="22"/>
          <w:szCs w:val="22"/>
          <w:lang w:val="en-US"/>
        </w:rPr>
        <w:fldChar w:fldCharType="end"/>
      </w:r>
      <w:r w:rsidRPr="005678D1">
        <w:rPr>
          <w:sz w:val="22"/>
          <w:szCs w:val="22"/>
          <w:lang w:val="en-US"/>
        </w:rPr>
        <w:t>. Inovasi digital juga membuka peluang bagi segmen pasar yang sebelumnya kurang terlayani, termasuk UMKM dan nasabah di daerah terpencil, yang pada akhirnya mendukung pertumbuhan kredit yang lebih inklusif dan berkelanjutan di masa depan.</w:t>
      </w:r>
    </w:p>
    <w:p w14:paraId="56E52FBF" w14:textId="658D31F3" w:rsidR="00607BB7" w:rsidRDefault="00607BB7" w:rsidP="00B326C3">
      <w:pPr>
        <w:spacing w:after="240"/>
        <w:ind w:firstLine="295"/>
        <w:jc w:val="both"/>
        <w:rPr>
          <w:sz w:val="22"/>
          <w:szCs w:val="22"/>
        </w:rPr>
      </w:pPr>
      <w:r w:rsidRPr="00607BB7">
        <w:rPr>
          <w:sz w:val="22"/>
          <w:szCs w:val="22"/>
        </w:rPr>
        <w:lastRenderedPageBreak/>
        <w:t>Peran kebijakan dan sektor unggulan sangat krusial dalam menjaga dan mendorong pertumbuhan kredit perbankan di tengah ketidakpastian ekonomi global yang terus berlangsung. Bank Indonesia (BI) telah mengambil langkah strategis dengan mempertahankan suku bunga acuan (BI-Rate) pada level 5,75% serta memperkuat Kebijakan Insentif Likuiditas Makroprudensial (KLM) sejak April 2025. Kebijakan ini dirancang untuk menjaga stabilitas makroekonomi, termasuk inflasi dan nilai tukar Rupiah, sekaligus mendorong penyaluran kredit ke sektor-sektor prioritas yang berkontribusi pada pertumbuhan ekonomi dan penciptaan lapangan kerja. Insentif KLM yang meningkat hingga 5% dari Dana Pihak Ketiga (DPK) memberikan dorongan likuiditas bagi perbankan untuk memperluas pembiayaan, khususnya pada sektor pertanian, perumahan rakyat, konstruksi, perdagangan, manufaktur, serta UMKM dan ekonomi hijau</w:t>
      </w:r>
      <w:r w:rsidR="00535E07">
        <w:rPr>
          <w:sz w:val="22"/>
          <w:szCs w:val="22"/>
        </w:rPr>
        <w:fldChar w:fldCharType="begin" w:fldLock="1"/>
      </w:r>
      <w:r w:rsidR="00DE7050">
        <w:rPr>
          <w:sz w:val="22"/>
          <w:szCs w:val="22"/>
        </w:rPr>
        <w:instrText>ADDIN CSL_CITATION {"citationItems":[{"id":"ITEM-1","itemData":{"ISSN":"2614-5391","abstract":"Penelitian ini bertujuan untuk mengetahui pengaruh Capital Adequacy Ratio (CAR) terhadap Return On Asset (ROA); pengaruh Non Nerforming Loan (NPL) terhadap ROA; pengaruh Net Interest Margin (NIM) terhadap ROA; pengaruh biaya operasional pendapatan operasional (BOPO) terhadap ROA; pengaruh Loan to Deposit Ratio (LDR) terhadap ROA; pengaruh CAR, NPL, NIM, LDR, BOPO secara simultan terhadap ROA bank yang terdaftar di BEI tahun 2011-2015.Metode penelitian yang digunakan adalah metode deskriptif verifikatif.</w:instrText>
      </w:r>
      <w:r w:rsidR="00DE7050">
        <w:rPr>
          <w:rFonts w:ascii="Tahoma" w:hAnsi="Tahoma" w:cs="Tahoma"/>
          <w:sz w:val="22"/>
          <w:szCs w:val="22"/>
        </w:rPr>
        <w:instrText>�</w:instrText>
      </w:r>
      <w:r w:rsidR="00DE7050">
        <w:rPr>
          <w:sz w:val="22"/>
          <w:szCs w:val="22"/>
        </w:rPr>
        <w:instrText xml:space="preserve"> Pengolahan data dalam penelitian ini menggunakan perhitungan statistik regresi linier berganda. Selanjutnya, untuk mengetahui besarnya pengaruh CAR, NPL, NIM, BOPO dan LDR terhadap ROA menggunakan analisis koefisien determinasi, keberartian koefisien regresi linier berganda diketahui dengan menggunakan uji t. Kemudian untuk mengetahu pengaruh secara simultan menggunakan uji f.Hasil penelitian menunjukkan bahwa CAR tidak berpengaruh terhadap ROA. NPL tidak berpengaruh terhadap ROA. NIM berpengaruh positif dan tidak signifikan terhadap ROA. BOPO berpengaruh negatif dan signifikan terhadap ROA. LDR tidak berpengaruh terhadap ROA. Secara simultan CAR, NPL, NIM, BOPO dan LDR berpengaruh secara signifikan terhadap ROA bank yang terdaftar di BEI tahun 2011-2015.</w:instrText>
      </w:r>
      <w:r w:rsidR="00DE7050">
        <w:rPr>
          <w:rFonts w:ascii="Tahoma" w:hAnsi="Tahoma" w:cs="Tahoma"/>
          <w:sz w:val="22"/>
          <w:szCs w:val="22"/>
        </w:rPr>
        <w:instrText>��</w:instrText>
      </w:r>
      <w:r w:rsidR="00DE7050">
        <w:rPr>
          <w:sz w:val="22"/>
          <w:szCs w:val="22"/>
        </w:rPr>
        <w:instrText>Kata kunci : ROA, CAR, NPL, NIM, BOPO, LDR</w:instrText>
      </w:r>
      <w:r w:rsidR="00DE7050">
        <w:rPr>
          <w:rFonts w:ascii="Tahoma" w:hAnsi="Tahoma" w:cs="Tahoma"/>
          <w:sz w:val="22"/>
          <w:szCs w:val="22"/>
        </w:rPr>
        <w:instrText>�</w:instrText>
      </w:r>
      <w:r w:rsidR="00DE7050">
        <w:rPr>
          <w:sz w:val="22"/>
          <w:szCs w:val="22"/>
        </w:rPr>
        <w:instrText>ABSTRACT</w:instrText>
      </w:r>
      <w:r w:rsidR="00DE7050">
        <w:rPr>
          <w:rFonts w:ascii="Tahoma" w:hAnsi="Tahoma" w:cs="Tahoma"/>
          <w:sz w:val="22"/>
          <w:szCs w:val="22"/>
        </w:rPr>
        <w:instrText>�</w:instrText>
      </w:r>
      <w:r w:rsidR="00DE7050">
        <w:rPr>
          <w:sz w:val="22"/>
          <w:szCs w:val="22"/>
        </w:rPr>
        <w:instrText>This study aims to determine the effect of Capital Adequacy Ratio (CAR) on Return On Assets (ROA); The effect of Non Nerforming Loan (NPL) on ROA; The effect of Net Interest Margin (NIM) on ROA; The effect of operational cost of operating income (BOPO) on ROA; The effect of Loan to Deposit Ratio (LDR) on ROA; The effect of CAR, NPL, NIM, LDR, BOPO simultaneously against the ROA of banks listed on the BEI 2011-2015.The research method used is descriptive method verifikatif. Data processing in this study using the calculation of multiple linear regression statistics. Furthermore, to know the effect of CAR, NPL, NIM, BOPO and LDR against ROA using coefficient of determination analysis, multi linier regression coefficient significance is known by using t test. Then to know the effect simultaneously using test f.The results showed that CAR had positive and insignificant effect on ROA. NPL has a negative and significant effect on ROA. NIM has a positive and insignificant effect on ROA. BOPO has a negative and significant effect on ROA. LDR has a positive and significant effect on ROA. Simultaneously CAR, NPL, NIM, BOPO and LDR have a significant effect on …","author":[{"dropping-particle":"","family":"Rizki","given":"Muhammad","non-dropping-particle":"","parse-names":false,"suffix":""}],"container-title":"Journal of Business Administration Economic &amp; Enreperneurship","id":"ITEM-1","issue":"1","issued":{"date-parts":[["2019"]]},"page":"27-35","title":"Analisis Pengaruh Rasio Keuangan Bank Terhadap Pertumbuhan Laba Pada Perbankan yang Terdaftar di BEI","type":"article-journal","volume":"1"},"uris":["http://www.mendeley.com/documents/?uuid=c8641007-15ea-49e9-bc45-7bb596265d36","http://www.mendeley.com/documents/?uuid=6ed755ae-663a-4e78-89be-64076c0328a8"]}],"mendeley":{"formattedCitation":"(Rizki, 2019)","plainTextFormattedCitation":"(Rizki, 2019)","previouslyFormattedCitation":"(Rizki, 2019)"},"properties":{"noteIndex":0},"schema":"https://github.com/citation-style-language/schema/raw/master/csl-citation.json"}</w:instrText>
      </w:r>
      <w:r w:rsidR="00535E07">
        <w:rPr>
          <w:sz w:val="22"/>
          <w:szCs w:val="22"/>
        </w:rPr>
        <w:fldChar w:fldCharType="separate"/>
      </w:r>
      <w:r w:rsidR="00535E07" w:rsidRPr="00535E07">
        <w:rPr>
          <w:sz w:val="22"/>
          <w:szCs w:val="22"/>
        </w:rPr>
        <w:t>(Rizki, 2019)</w:t>
      </w:r>
      <w:r w:rsidR="00535E07">
        <w:rPr>
          <w:sz w:val="22"/>
          <w:szCs w:val="22"/>
        </w:rPr>
        <w:fldChar w:fldCharType="end"/>
      </w:r>
    </w:p>
    <w:p w14:paraId="6D6B4F99" w14:textId="2C1F53E4" w:rsidR="00607BB7" w:rsidRPr="005678D1" w:rsidRDefault="00607BB7" w:rsidP="00B326C3">
      <w:pPr>
        <w:spacing w:after="240"/>
        <w:ind w:firstLine="295"/>
        <w:jc w:val="both"/>
        <w:rPr>
          <w:sz w:val="22"/>
          <w:szCs w:val="22"/>
        </w:rPr>
      </w:pPr>
      <w:r w:rsidRPr="00607BB7">
        <w:rPr>
          <w:sz w:val="22"/>
          <w:szCs w:val="22"/>
        </w:rPr>
        <w:t>Meskipun terdapat berbagai tantangan, proyeksi pertumbuhan kredit perbankan pada tahun 2025 tetap positif. Pertumbuhan kredit yang sehat dan berkelanjutan penting untuk memastikan bahwa sektor perbankan dapat terus mendukung pembiayaan ekonomi riil dan memperkuat fondasi pertumbuhan ekonomi nasional. Namun, perluasan sumber dana perbankan dan peningkatan permintaan dari sektor riil tetap menjadi fokus utama untuk mencapai pertumbuhan ekonomi yang lebih tinggi</w:t>
      </w:r>
    </w:p>
    <w:p w14:paraId="7FDA47A6" w14:textId="77777777" w:rsidR="00F171CC" w:rsidRPr="000A4D03" w:rsidRDefault="001A25E2">
      <w:pPr>
        <w:pStyle w:val="Heading1"/>
        <w:numPr>
          <w:ilvl w:val="0"/>
          <w:numId w:val="1"/>
        </w:numPr>
        <w:spacing w:after="60"/>
        <w:ind w:left="272" w:hanging="272"/>
        <w:rPr>
          <w:i w:val="0"/>
          <w:sz w:val="22"/>
          <w:szCs w:val="22"/>
        </w:rPr>
      </w:pPr>
      <w:r w:rsidRPr="000A4D03">
        <w:rPr>
          <w:i w:val="0"/>
          <w:sz w:val="22"/>
          <w:szCs w:val="22"/>
        </w:rPr>
        <w:t>CONCLUSIONS</w:t>
      </w:r>
    </w:p>
    <w:p w14:paraId="73FBA6DC" w14:textId="3EFC90FF" w:rsidR="00F171CC" w:rsidRPr="000A4D03" w:rsidRDefault="00D031D6">
      <w:pPr>
        <w:spacing w:after="240"/>
        <w:ind w:firstLine="567"/>
        <w:jc w:val="both"/>
        <w:rPr>
          <w:sz w:val="22"/>
          <w:szCs w:val="22"/>
        </w:rPr>
      </w:pPr>
      <w:r w:rsidRPr="00D031D6">
        <w:rPr>
          <w:sz w:val="22"/>
          <w:szCs w:val="22"/>
        </w:rPr>
        <w:t xml:space="preserve">Optimisme terhadap pertumbuhan kredit perbankan di Indonesia tetap terjaga meskipun menghadapi ketidakpastian ekonomi global yang cukup signifikan. Data hingga April 2025 menunjukkan pertumbuhan kredit melambat menjadi 8,88 persen year on year, lebih rendah dibandingkan bulan sebelumnya, namun masih dalam rentang proyeksi Bank Indonesia dan OJK yang memprediksi pertumbuhan kredit berada di kisaran 8-11 persen. Perlambatan ini dipengaruhi oleh faktor-faktor eksternal seperti ketegangan geopolitik dan kebijakan tarif impor Amerika Serikat yang menimbulkan sikap hati-hati di kalangan pelaku usaha, serta perlambatan pertumbuhan Dana Pihak Ketiga (DPK) yang berdampak pada likuiditas perbankan </w:t>
      </w:r>
      <w:r w:rsidR="00996A57">
        <w:rPr>
          <w:sz w:val="22"/>
          <w:szCs w:val="22"/>
          <w:lang w:val="en-US"/>
        </w:rPr>
        <w:t xml:space="preserve"> </w:t>
      </w:r>
      <w:r w:rsidR="0047478F" w:rsidRPr="0047478F">
        <w:rPr>
          <w:sz w:val="22"/>
          <w:szCs w:val="22"/>
        </w:rPr>
        <w:t xml:space="preserve">Fokus pada Sektor Produktif, Sektor investasi dan sektor produktif, seperti industri, pertambangan, dan jasa sosial, tetap menjadi pendorong utama pertumbuhan kredit. </w:t>
      </w:r>
      <w:r w:rsidR="0047478F" w:rsidRPr="0047478F">
        <w:rPr>
          <w:sz w:val="22"/>
          <w:szCs w:val="22"/>
          <w:lang w:val="en-ID"/>
        </w:rPr>
        <w:t>Meskipun kredit konsumsi melambat, pertumbuhan kredit investasi tetap kuat, mencapai 13,36% (yoy). Koordinasi Antara Otoritas Keuangan, Koordinasi yang baik antara Bank Indonesia dan Otoritas Jasa Keuangan (OJK) membantu menjaga stabilitas sistem keuangan nasional, yang penting dalam menghadapi ketidakpastian ekonomi global.</w:t>
      </w:r>
      <w:r w:rsidR="00996A57">
        <w:rPr>
          <w:sz w:val="22"/>
          <w:szCs w:val="22"/>
          <w:lang w:val="en-US"/>
        </w:rPr>
        <w:t xml:space="preserve"> </w:t>
      </w:r>
      <w:r w:rsidR="00EB6D28" w:rsidRPr="00EB6D28">
        <w:rPr>
          <w:sz w:val="22"/>
          <w:szCs w:val="22"/>
        </w:rPr>
        <w:t>Kebijakan makroprudensial yang akomodatif dari Bank Indonesia dan koordinasi dengan OJK serta Komite Stabilitas Sistem Keuangan (KSSK) menjadi kunci dalam menjaga stabilitas sistem keuangan sekaligus mendorong pertumbuhan kredit yang berkelanjutan. Insentif likuiditas makroprudensial dan penguatan ketentuan likuiditas diharapkan dapat mengatasi tantangan likuiditas yang muncul akibat perlambatan pertumbuhan DPK dan ketidakpastian global. Sinergi kebijakan ini juga diarahkan untuk memperkuat pembiayaan pada sektor-sektor prioritas seperti UMKM, ekonomi hijau, dan infrastruktur yang memiliki dampak ekonomi luas</w:t>
      </w:r>
      <w:r w:rsidR="00B326C3">
        <w:rPr>
          <w:sz w:val="22"/>
          <w:szCs w:val="22"/>
        </w:rPr>
        <w:t>.</w:t>
      </w:r>
      <w:r w:rsidR="0047478F">
        <w:rPr>
          <w:sz w:val="22"/>
          <w:szCs w:val="22"/>
        </w:rPr>
        <w:t xml:space="preserve"> </w:t>
      </w:r>
    </w:p>
    <w:p w14:paraId="183D33FF" w14:textId="77777777" w:rsidR="00F171CC" w:rsidRPr="000A4D03" w:rsidRDefault="001A25E2">
      <w:pPr>
        <w:pStyle w:val="Heading1"/>
        <w:numPr>
          <w:ilvl w:val="0"/>
          <w:numId w:val="1"/>
        </w:numPr>
        <w:spacing w:after="60"/>
        <w:ind w:left="270" w:hanging="270"/>
        <w:rPr>
          <w:i w:val="0"/>
          <w:sz w:val="22"/>
          <w:szCs w:val="22"/>
        </w:rPr>
      </w:pPr>
      <w:r w:rsidRPr="000A4D03">
        <w:rPr>
          <w:i w:val="0"/>
          <w:sz w:val="22"/>
          <w:szCs w:val="22"/>
        </w:rPr>
        <w:lastRenderedPageBreak/>
        <w:t>ACKNOWLEDGEMENT</w:t>
      </w:r>
    </w:p>
    <w:p w14:paraId="050AB615" w14:textId="77777777" w:rsidR="0047478F" w:rsidRDefault="0047478F" w:rsidP="00B326C3">
      <w:pPr>
        <w:pStyle w:val="Heading1"/>
        <w:spacing w:after="60"/>
        <w:jc w:val="both"/>
        <w:rPr>
          <w:b w:val="0"/>
          <w:i w:val="0"/>
          <w:sz w:val="22"/>
          <w:szCs w:val="22"/>
        </w:rPr>
      </w:pPr>
      <w:r w:rsidRPr="0047478F">
        <w:rPr>
          <w:b w:val="0"/>
          <w:i w:val="0"/>
          <w:sz w:val="22"/>
          <w:szCs w:val="22"/>
        </w:rPr>
        <w:t>Penulis mengucapkan terima kasih yang sebesar-besarnya kepada semua pihak yang telah memberikan dukungan, baik secara langsung maupun tidak langsung, dalam penyelesaian penelitian ini.</w:t>
      </w:r>
    </w:p>
    <w:p w14:paraId="35C5CBAF" w14:textId="0023D1BE" w:rsidR="00B326C3" w:rsidRDefault="00B326C3" w:rsidP="0047478F">
      <w:pPr>
        <w:pStyle w:val="Heading1"/>
        <w:spacing w:after="60"/>
        <w:ind w:left="270"/>
        <w:rPr>
          <w:b w:val="0"/>
          <w:i w:val="0"/>
          <w:sz w:val="22"/>
          <w:szCs w:val="22"/>
        </w:rPr>
      </w:pPr>
    </w:p>
    <w:p w14:paraId="4E090254" w14:textId="0F010913" w:rsidR="00F171CC" w:rsidRPr="000A4D03" w:rsidRDefault="0047478F" w:rsidP="00822F07">
      <w:pPr>
        <w:pStyle w:val="Heading1"/>
        <w:spacing w:after="60"/>
        <w:ind w:left="270" w:hanging="270"/>
        <w:rPr>
          <w:i w:val="0"/>
          <w:sz w:val="22"/>
          <w:szCs w:val="22"/>
        </w:rPr>
      </w:pPr>
      <w:r w:rsidRPr="000A4D03">
        <w:rPr>
          <w:i w:val="0"/>
          <w:sz w:val="22"/>
          <w:szCs w:val="22"/>
        </w:rPr>
        <w:t>REFERENCES</w:t>
      </w:r>
    </w:p>
    <w:p w14:paraId="39FC78CD" w14:textId="1B9DF3FF" w:rsidR="00206286" w:rsidRPr="00206286" w:rsidRDefault="00243141" w:rsidP="00822F07">
      <w:pPr>
        <w:widowControl w:val="0"/>
        <w:autoSpaceDE w:val="0"/>
        <w:autoSpaceDN w:val="0"/>
        <w:adjustRightInd w:val="0"/>
        <w:ind w:left="567" w:hanging="567"/>
        <w:jc w:val="both"/>
        <w:rPr>
          <w:szCs w:val="24"/>
        </w:rPr>
      </w:pPr>
      <w:r>
        <w:rPr>
          <w:sz w:val="23"/>
          <w:szCs w:val="23"/>
        </w:rPr>
        <w:fldChar w:fldCharType="begin" w:fldLock="1"/>
      </w:r>
      <w:r>
        <w:rPr>
          <w:sz w:val="23"/>
          <w:szCs w:val="23"/>
        </w:rPr>
        <w:instrText xml:space="preserve">ADDIN Mendeley Bibliography CSL_BIBLIOGRAPHY </w:instrText>
      </w:r>
      <w:r>
        <w:rPr>
          <w:sz w:val="23"/>
          <w:szCs w:val="23"/>
        </w:rPr>
        <w:fldChar w:fldCharType="separate"/>
      </w:r>
      <w:r w:rsidR="00206286" w:rsidRPr="00206286">
        <w:rPr>
          <w:szCs w:val="24"/>
        </w:rPr>
        <w:t xml:space="preserve">Aprillia, A., Syahfia, N., Putri, W. F., Nasution, D. P., &amp; Rusiadi, R. (2024). Stabilitas Sistem Keuangan dan Pertumbuhan Ekonomi Melalui Kebijakan Makroprudensial di 5 Negara ASEAN. </w:t>
      </w:r>
      <w:r w:rsidR="00206286" w:rsidRPr="00206286">
        <w:rPr>
          <w:i/>
          <w:iCs/>
          <w:szCs w:val="24"/>
        </w:rPr>
        <w:t>Jurnal Ilmiah Global Education</w:t>
      </w:r>
      <w:r w:rsidR="00206286" w:rsidRPr="00206286">
        <w:rPr>
          <w:szCs w:val="24"/>
        </w:rPr>
        <w:t xml:space="preserve">, </w:t>
      </w:r>
      <w:r w:rsidR="00206286" w:rsidRPr="00206286">
        <w:rPr>
          <w:i/>
          <w:iCs/>
          <w:szCs w:val="24"/>
        </w:rPr>
        <w:t>5</w:t>
      </w:r>
      <w:r w:rsidR="00206286" w:rsidRPr="00206286">
        <w:rPr>
          <w:szCs w:val="24"/>
        </w:rPr>
        <w:t>(1), 264–279. https://doi.org/10.55681/jige.v5i1.2136</w:t>
      </w:r>
    </w:p>
    <w:p w14:paraId="25B31243" w14:textId="77777777" w:rsidR="00206286" w:rsidRPr="00206286" w:rsidRDefault="00206286" w:rsidP="00822F07">
      <w:pPr>
        <w:widowControl w:val="0"/>
        <w:autoSpaceDE w:val="0"/>
        <w:autoSpaceDN w:val="0"/>
        <w:adjustRightInd w:val="0"/>
        <w:ind w:left="480" w:hanging="480"/>
        <w:jc w:val="both"/>
        <w:rPr>
          <w:szCs w:val="24"/>
        </w:rPr>
      </w:pPr>
      <w:r w:rsidRPr="00206286">
        <w:rPr>
          <w:szCs w:val="24"/>
        </w:rPr>
        <w:t xml:space="preserve">Aryanti, F. P., Nurhalizah, F., &amp; Jannah, H. (2022). Pengaruh Kontribusi Pembiayaan Mikro Modal Kerja di dalam Lembaga Keuangan Perbankan Syariah terhadap Pengembangan Usaha Mikro Kecil dan Menengah (UMKM) di Kota Palembang (Studi Kasus Bank Syariah Indonesia KC Demang). </w:t>
      </w:r>
      <w:r w:rsidRPr="00206286">
        <w:rPr>
          <w:i/>
          <w:iCs/>
          <w:szCs w:val="24"/>
        </w:rPr>
        <w:t>Ekonomis: Journal of Economics and Business</w:t>
      </w:r>
      <w:r w:rsidRPr="00206286">
        <w:rPr>
          <w:szCs w:val="24"/>
        </w:rPr>
        <w:t xml:space="preserve">, </w:t>
      </w:r>
      <w:r w:rsidRPr="00206286">
        <w:rPr>
          <w:i/>
          <w:iCs/>
          <w:szCs w:val="24"/>
        </w:rPr>
        <w:t>6</w:t>
      </w:r>
      <w:r w:rsidRPr="00206286">
        <w:rPr>
          <w:szCs w:val="24"/>
        </w:rPr>
        <w:t>(2), 699. https://doi.org/10.33087/ekonomis.v6i2.566</w:t>
      </w:r>
    </w:p>
    <w:p w14:paraId="61D05A3F" w14:textId="77777777" w:rsidR="00206286" w:rsidRPr="00206286" w:rsidRDefault="00206286" w:rsidP="00206286">
      <w:pPr>
        <w:widowControl w:val="0"/>
        <w:autoSpaceDE w:val="0"/>
        <w:autoSpaceDN w:val="0"/>
        <w:adjustRightInd w:val="0"/>
        <w:ind w:left="480" w:hanging="480"/>
        <w:rPr>
          <w:szCs w:val="24"/>
        </w:rPr>
      </w:pPr>
      <w:r w:rsidRPr="00206286">
        <w:rPr>
          <w:szCs w:val="24"/>
        </w:rPr>
        <w:t xml:space="preserve">Fadhilah, N. L. (2020). analisis pertumbuhan kredit perbankan terhadap stabilitas sitem keuangan. </w:t>
      </w:r>
      <w:r w:rsidRPr="00206286">
        <w:rPr>
          <w:i/>
          <w:iCs/>
          <w:szCs w:val="24"/>
        </w:rPr>
        <w:t>Perpustakaan Universitas Airlangga</w:t>
      </w:r>
      <w:r w:rsidRPr="00206286">
        <w:rPr>
          <w:szCs w:val="24"/>
        </w:rPr>
        <w:t>, (08), 1–20.</w:t>
      </w:r>
    </w:p>
    <w:p w14:paraId="11230EC9" w14:textId="77777777" w:rsidR="00206286" w:rsidRPr="00206286" w:rsidRDefault="00206286" w:rsidP="00206286">
      <w:pPr>
        <w:widowControl w:val="0"/>
        <w:autoSpaceDE w:val="0"/>
        <w:autoSpaceDN w:val="0"/>
        <w:adjustRightInd w:val="0"/>
        <w:ind w:left="480" w:hanging="480"/>
        <w:rPr>
          <w:szCs w:val="24"/>
        </w:rPr>
      </w:pPr>
      <w:r w:rsidRPr="00206286">
        <w:rPr>
          <w:szCs w:val="24"/>
        </w:rPr>
        <w:t xml:space="preserve">Firmansyah, M. (2022). Efektivitas Transmisi Kebijakan Moneter Melalui Jalur Kredit Perbankan Dan Harga Aset Dalam Mencapai Inflasi. </w:t>
      </w:r>
      <w:r w:rsidRPr="00206286">
        <w:rPr>
          <w:i/>
          <w:iCs/>
          <w:szCs w:val="24"/>
        </w:rPr>
        <w:t>At-Tadbir : Jurnal Ilmiah Manajemen</w:t>
      </w:r>
      <w:r w:rsidRPr="00206286">
        <w:rPr>
          <w:szCs w:val="24"/>
        </w:rPr>
        <w:t xml:space="preserve">, </w:t>
      </w:r>
      <w:r w:rsidRPr="00206286">
        <w:rPr>
          <w:i/>
          <w:iCs/>
          <w:szCs w:val="24"/>
        </w:rPr>
        <w:t>6</w:t>
      </w:r>
      <w:r w:rsidRPr="00206286">
        <w:rPr>
          <w:szCs w:val="24"/>
        </w:rPr>
        <w:t>(2), 191. https://doi.org/10.31602/atd.v6i2.6897</w:t>
      </w:r>
    </w:p>
    <w:p w14:paraId="08FAFE14" w14:textId="77777777" w:rsidR="00206286" w:rsidRPr="00206286" w:rsidRDefault="00206286" w:rsidP="00206286">
      <w:pPr>
        <w:widowControl w:val="0"/>
        <w:autoSpaceDE w:val="0"/>
        <w:autoSpaceDN w:val="0"/>
        <w:adjustRightInd w:val="0"/>
        <w:ind w:left="480" w:hanging="480"/>
        <w:rPr>
          <w:szCs w:val="24"/>
        </w:rPr>
      </w:pPr>
      <w:r w:rsidRPr="00206286">
        <w:rPr>
          <w:szCs w:val="24"/>
        </w:rPr>
        <w:t xml:space="preserve">Pratiwi, I. M. (2017). Analisis Pengaruh Pemberian Kredit Mikro Kepada UMKM Terhadap Pertumbuhan Ekonomi Di Indonesia Periode 2010-2015 Pada Bank Penyalur Kredit Usaha …. </w:t>
      </w:r>
      <w:r w:rsidRPr="00206286">
        <w:rPr>
          <w:i/>
          <w:iCs/>
          <w:szCs w:val="24"/>
        </w:rPr>
        <w:t>Jurnal Ekonomi, Manajemen Dan Perbankan</w:t>
      </w:r>
      <w:r w:rsidRPr="00206286">
        <w:rPr>
          <w:szCs w:val="24"/>
        </w:rPr>
        <w:t xml:space="preserve">, </w:t>
      </w:r>
      <w:r w:rsidRPr="00206286">
        <w:rPr>
          <w:i/>
          <w:iCs/>
          <w:szCs w:val="24"/>
        </w:rPr>
        <w:t>8114</w:t>
      </w:r>
      <w:r w:rsidRPr="00206286">
        <w:rPr>
          <w:szCs w:val="24"/>
        </w:rPr>
        <w:t>(6).</w:t>
      </w:r>
    </w:p>
    <w:p w14:paraId="1FF1FC91" w14:textId="77777777" w:rsidR="00206286" w:rsidRPr="00206286" w:rsidRDefault="00206286" w:rsidP="00206286">
      <w:pPr>
        <w:widowControl w:val="0"/>
        <w:autoSpaceDE w:val="0"/>
        <w:autoSpaceDN w:val="0"/>
        <w:adjustRightInd w:val="0"/>
        <w:ind w:left="480" w:hanging="480"/>
        <w:rPr>
          <w:szCs w:val="24"/>
        </w:rPr>
      </w:pPr>
      <w:r w:rsidRPr="00206286">
        <w:rPr>
          <w:szCs w:val="24"/>
        </w:rPr>
        <w:t xml:space="preserve">Puspitasari Gobel, Y. (2020). Pemulihan Ekonomi Indonesia Pasca Pandemi Covid-19 Dengan Mengkombinasikan Model Filantropi Islam Dan Ndeas Model. </w:t>
      </w:r>
      <w:r w:rsidRPr="00206286">
        <w:rPr>
          <w:i/>
          <w:iCs/>
          <w:szCs w:val="24"/>
        </w:rPr>
        <w:t>Jurnal Tabarru’: Islamic Banking and Finance</w:t>
      </w:r>
      <w:r w:rsidRPr="00206286">
        <w:rPr>
          <w:szCs w:val="24"/>
        </w:rPr>
        <w:t xml:space="preserve">, </w:t>
      </w:r>
      <w:r w:rsidRPr="00206286">
        <w:rPr>
          <w:i/>
          <w:iCs/>
          <w:szCs w:val="24"/>
        </w:rPr>
        <w:t>3</w:t>
      </w:r>
      <w:r w:rsidRPr="00206286">
        <w:rPr>
          <w:szCs w:val="24"/>
        </w:rPr>
        <w:t>(2), 209–223. https://doi.org/10.25299/jtb.2020.vol3(2).5809</w:t>
      </w:r>
    </w:p>
    <w:p w14:paraId="2172FC1A" w14:textId="77777777" w:rsidR="00206286" w:rsidRPr="00206286" w:rsidRDefault="00206286" w:rsidP="00206286">
      <w:pPr>
        <w:widowControl w:val="0"/>
        <w:autoSpaceDE w:val="0"/>
        <w:autoSpaceDN w:val="0"/>
        <w:adjustRightInd w:val="0"/>
        <w:ind w:left="480" w:hanging="480"/>
        <w:rPr>
          <w:szCs w:val="24"/>
        </w:rPr>
      </w:pPr>
      <w:r w:rsidRPr="00206286">
        <w:rPr>
          <w:szCs w:val="24"/>
        </w:rPr>
        <w:t xml:space="preserve">Putriana;, A. S. Y. C. K., &amp; Maulana, F. (2024). Kebijakan Bank Indonesia Dalam Menghadapi Krisis Keuangan. </w:t>
      </w:r>
      <w:r w:rsidRPr="00206286">
        <w:rPr>
          <w:i/>
          <w:iCs/>
          <w:szCs w:val="24"/>
        </w:rPr>
        <w:t>Jurnal Akuntansi Keuangan Dan Bisnis</w:t>
      </w:r>
      <w:r w:rsidRPr="00206286">
        <w:rPr>
          <w:szCs w:val="24"/>
        </w:rPr>
        <w:t xml:space="preserve">, </w:t>
      </w:r>
      <w:r w:rsidRPr="00206286">
        <w:rPr>
          <w:i/>
          <w:iCs/>
          <w:szCs w:val="24"/>
        </w:rPr>
        <w:t>2</w:t>
      </w:r>
      <w:r w:rsidRPr="00206286">
        <w:rPr>
          <w:szCs w:val="24"/>
        </w:rPr>
        <w:t>(1), 1–3.</w:t>
      </w:r>
    </w:p>
    <w:p w14:paraId="533E387A" w14:textId="77777777" w:rsidR="00206286" w:rsidRPr="00206286" w:rsidRDefault="00206286" w:rsidP="00206286">
      <w:pPr>
        <w:widowControl w:val="0"/>
        <w:autoSpaceDE w:val="0"/>
        <w:autoSpaceDN w:val="0"/>
        <w:adjustRightInd w:val="0"/>
        <w:ind w:left="480" w:hanging="480"/>
        <w:rPr>
          <w:szCs w:val="24"/>
        </w:rPr>
      </w:pPr>
      <w:r w:rsidRPr="00206286">
        <w:rPr>
          <w:szCs w:val="24"/>
        </w:rPr>
        <w:t xml:space="preserve">Rizki, M. (2019). Analisis Pengaruh Rasio Keuangan Bank Terhadap Pertumbuhan Laba Pada Perbankan yang Terdaftar di BEI. </w:t>
      </w:r>
      <w:r w:rsidRPr="00206286">
        <w:rPr>
          <w:i/>
          <w:iCs/>
          <w:szCs w:val="24"/>
        </w:rPr>
        <w:t>Journal of Business Administration Economic &amp; Enreperneurship</w:t>
      </w:r>
      <w:r w:rsidRPr="00206286">
        <w:rPr>
          <w:szCs w:val="24"/>
        </w:rPr>
        <w:t xml:space="preserve">, </w:t>
      </w:r>
      <w:r w:rsidRPr="00206286">
        <w:rPr>
          <w:i/>
          <w:iCs/>
          <w:szCs w:val="24"/>
        </w:rPr>
        <w:t>1</w:t>
      </w:r>
      <w:r w:rsidRPr="00206286">
        <w:rPr>
          <w:szCs w:val="24"/>
        </w:rPr>
        <w:t>(1), 27–35.</w:t>
      </w:r>
    </w:p>
    <w:p w14:paraId="150981A8" w14:textId="77777777" w:rsidR="00206286" w:rsidRPr="00206286" w:rsidRDefault="00206286" w:rsidP="00206286">
      <w:pPr>
        <w:widowControl w:val="0"/>
        <w:autoSpaceDE w:val="0"/>
        <w:autoSpaceDN w:val="0"/>
        <w:adjustRightInd w:val="0"/>
        <w:ind w:left="480" w:hanging="480"/>
        <w:rPr>
          <w:szCs w:val="24"/>
        </w:rPr>
      </w:pPr>
      <w:r w:rsidRPr="00206286">
        <w:rPr>
          <w:szCs w:val="24"/>
        </w:rPr>
        <w:t xml:space="preserve">Saputro, A. R., Sarumpaet, S., &amp; Prasetyo, T. J. (2019). Analisa Pengaruh Pertumbuhan Kredit, Jenis Kredit, Tingkat Bunga Pinjaman Bank Dan Inflasi Terhadap Kredit Bermasalah. </w:t>
      </w:r>
      <w:r w:rsidRPr="00206286">
        <w:rPr>
          <w:i/>
          <w:iCs/>
          <w:szCs w:val="24"/>
        </w:rPr>
        <w:t>Ekspansi: Jurnal Ekonomi, Keuangan, Perbankan Dan Akuntansi</w:t>
      </w:r>
      <w:r w:rsidRPr="00206286">
        <w:rPr>
          <w:szCs w:val="24"/>
        </w:rPr>
        <w:t xml:space="preserve">, </w:t>
      </w:r>
      <w:r w:rsidRPr="00206286">
        <w:rPr>
          <w:i/>
          <w:iCs/>
          <w:szCs w:val="24"/>
        </w:rPr>
        <w:t>11</w:t>
      </w:r>
      <w:r w:rsidRPr="00206286">
        <w:rPr>
          <w:szCs w:val="24"/>
        </w:rPr>
        <w:t>(1), 1. https://doi.org/10.35313/ekspansi.v11i1.1325</w:t>
      </w:r>
    </w:p>
    <w:p w14:paraId="28BFBBA3" w14:textId="77777777" w:rsidR="00206286" w:rsidRPr="00206286" w:rsidRDefault="00206286" w:rsidP="00206286">
      <w:pPr>
        <w:widowControl w:val="0"/>
        <w:autoSpaceDE w:val="0"/>
        <w:autoSpaceDN w:val="0"/>
        <w:adjustRightInd w:val="0"/>
        <w:ind w:left="480" w:hanging="480"/>
        <w:rPr>
          <w:szCs w:val="24"/>
        </w:rPr>
      </w:pPr>
      <w:r w:rsidRPr="00206286">
        <w:rPr>
          <w:szCs w:val="24"/>
        </w:rPr>
        <w:t xml:space="preserve">Sari, M., &amp; Asmendri, A. (2020). Penelitian Kepustakaan (Library Research) dalam Penelitian Pendidikan IPA. </w:t>
      </w:r>
      <w:r w:rsidRPr="00206286">
        <w:rPr>
          <w:i/>
          <w:iCs/>
          <w:szCs w:val="24"/>
        </w:rPr>
        <w:t>Natural Science</w:t>
      </w:r>
      <w:r w:rsidRPr="00206286">
        <w:rPr>
          <w:szCs w:val="24"/>
        </w:rPr>
        <w:t xml:space="preserve">, </w:t>
      </w:r>
      <w:r w:rsidRPr="00206286">
        <w:rPr>
          <w:i/>
          <w:iCs/>
          <w:szCs w:val="24"/>
        </w:rPr>
        <w:t>6</w:t>
      </w:r>
      <w:r w:rsidRPr="00206286">
        <w:rPr>
          <w:szCs w:val="24"/>
        </w:rPr>
        <w:t>(1), 41–53. https://doi.org/10.15548/nsc.v6i1.1555</w:t>
      </w:r>
    </w:p>
    <w:p w14:paraId="5E8E1921" w14:textId="77777777" w:rsidR="00206286" w:rsidRPr="00206286" w:rsidRDefault="00206286" w:rsidP="00206286">
      <w:pPr>
        <w:widowControl w:val="0"/>
        <w:autoSpaceDE w:val="0"/>
        <w:autoSpaceDN w:val="0"/>
        <w:adjustRightInd w:val="0"/>
        <w:ind w:left="480" w:hanging="480"/>
        <w:rPr>
          <w:szCs w:val="24"/>
        </w:rPr>
      </w:pPr>
      <w:r w:rsidRPr="00206286">
        <w:rPr>
          <w:szCs w:val="24"/>
        </w:rPr>
        <w:t xml:space="preserve">Saskya Octarina, A., &amp; Khoirudin, R. (2022). Analisis peran kredit investasi terhadap pertumbuhan ekonomi di Indonesia. </w:t>
      </w:r>
      <w:r w:rsidRPr="00206286">
        <w:rPr>
          <w:i/>
          <w:iCs/>
          <w:szCs w:val="24"/>
        </w:rPr>
        <w:t>Jurnal Paradigma Ekonomika</w:t>
      </w:r>
      <w:r w:rsidRPr="00206286">
        <w:rPr>
          <w:szCs w:val="24"/>
        </w:rPr>
        <w:t xml:space="preserve">, </w:t>
      </w:r>
      <w:r w:rsidRPr="00206286">
        <w:rPr>
          <w:i/>
          <w:iCs/>
          <w:szCs w:val="24"/>
        </w:rPr>
        <w:t>17</w:t>
      </w:r>
      <w:r w:rsidRPr="00206286">
        <w:rPr>
          <w:szCs w:val="24"/>
        </w:rPr>
        <w:t>(2), 341–360. https://doi.org/10.22437/jpe.v17i2.15652</w:t>
      </w:r>
    </w:p>
    <w:p w14:paraId="0C66FAAE" w14:textId="77777777" w:rsidR="00206286" w:rsidRPr="00206286" w:rsidRDefault="00206286" w:rsidP="00206286">
      <w:pPr>
        <w:widowControl w:val="0"/>
        <w:autoSpaceDE w:val="0"/>
        <w:autoSpaceDN w:val="0"/>
        <w:adjustRightInd w:val="0"/>
        <w:ind w:left="480" w:hanging="480"/>
        <w:rPr>
          <w:szCs w:val="24"/>
        </w:rPr>
      </w:pPr>
      <w:r w:rsidRPr="00206286">
        <w:rPr>
          <w:szCs w:val="24"/>
        </w:rPr>
        <w:t xml:space="preserve">Shafiin, A. (2014). </w:t>
      </w:r>
      <w:r w:rsidRPr="00206286">
        <w:rPr>
          <w:i/>
          <w:iCs/>
          <w:szCs w:val="24"/>
        </w:rPr>
        <w:t xml:space="preserve">Pengaruh Rasio Keuangan Terhadap Profitabilitas dengan NOM </w:t>
      </w:r>
      <w:r w:rsidRPr="00206286">
        <w:rPr>
          <w:i/>
          <w:iCs/>
          <w:szCs w:val="24"/>
        </w:rPr>
        <w:lastRenderedPageBreak/>
        <w:t>dan GWM Sebagai Faktor Moderasi Rasio Keuangan Perbankan (Studi Di Bank NTB Syariah)</w:t>
      </w:r>
      <w:r w:rsidRPr="00206286">
        <w:rPr>
          <w:szCs w:val="24"/>
        </w:rPr>
        <w:t>. 22–31.</w:t>
      </w:r>
    </w:p>
    <w:p w14:paraId="65ABAA11" w14:textId="77777777" w:rsidR="00206286" w:rsidRPr="00206286" w:rsidRDefault="00206286" w:rsidP="00206286">
      <w:pPr>
        <w:widowControl w:val="0"/>
        <w:autoSpaceDE w:val="0"/>
        <w:autoSpaceDN w:val="0"/>
        <w:adjustRightInd w:val="0"/>
        <w:ind w:left="480" w:hanging="480"/>
        <w:rPr>
          <w:szCs w:val="24"/>
        </w:rPr>
      </w:pPr>
      <w:r w:rsidRPr="00206286">
        <w:rPr>
          <w:szCs w:val="24"/>
        </w:rPr>
        <w:t xml:space="preserve">Sulistiyani, I., &amp; Muslinawati, R. (2023). Pengaruh Penggunaan Kredit Perbankan dan Pertumbuhan Industri Manufaktur Terhadap Pertumbuhan Ekonomi Indonesia. </w:t>
      </w:r>
      <w:r w:rsidRPr="00206286">
        <w:rPr>
          <w:i/>
          <w:iCs/>
          <w:szCs w:val="24"/>
        </w:rPr>
        <w:t>Ekonomi, Keuangan, Investasi Dan Syariah (EKUITAS)</w:t>
      </w:r>
      <w:r w:rsidRPr="00206286">
        <w:rPr>
          <w:szCs w:val="24"/>
        </w:rPr>
        <w:t xml:space="preserve">, </w:t>
      </w:r>
      <w:r w:rsidRPr="00206286">
        <w:rPr>
          <w:i/>
          <w:iCs/>
          <w:szCs w:val="24"/>
        </w:rPr>
        <w:t>4</w:t>
      </w:r>
      <w:r w:rsidRPr="00206286">
        <w:rPr>
          <w:szCs w:val="24"/>
        </w:rPr>
        <w:t>(3), 843–849. https://doi.org/10.47065/ekuitas.v4i3.2708</w:t>
      </w:r>
    </w:p>
    <w:p w14:paraId="05A84B9C" w14:textId="77777777" w:rsidR="00206286" w:rsidRPr="00206286" w:rsidRDefault="00206286" w:rsidP="00206286">
      <w:pPr>
        <w:widowControl w:val="0"/>
        <w:autoSpaceDE w:val="0"/>
        <w:autoSpaceDN w:val="0"/>
        <w:adjustRightInd w:val="0"/>
        <w:ind w:left="480" w:hanging="480"/>
      </w:pPr>
      <w:r w:rsidRPr="00206286">
        <w:rPr>
          <w:szCs w:val="24"/>
        </w:rPr>
        <w:t xml:space="preserve">Telaumbanua, A. R. ., Fau, S. H., &amp; Gohae, A. S. (2022). Analisis Faktor-Faktor Penyebab Kredit Macet Pada Cu. Faomasi Kecamatan Telukdalam Kabupaten Nias Selatan. </w:t>
      </w:r>
      <w:r w:rsidRPr="00206286">
        <w:rPr>
          <w:i/>
          <w:iCs/>
          <w:szCs w:val="24"/>
        </w:rPr>
        <w:t>Balance: Jurnal Riset Akuntansi Dan Bisinis</w:t>
      </w:r>
      <w:r w:rsidRPr="00206286">
        <w:rPr>
          <w:szCs w:val="24"/>
        </w:rPr>
        <w:t xml:space="preserve">, </w:t>
      </w:r>
      <w:r w:rsidRPr="00206286">
        <w:rPr>
          <w:i/>
          <w:iCs/>
          <w:szCs w:val="24"/>
        </w:rPr>
        <w:t>5</w:t>
      </w:r>
      <w:r w:rsidRPr="00206286">
        <w:rPr>
          <w:szCs w:val="24"/>
        </w:rPr>
        <w:t>, 33–44.</w:t>
      </w:r>
    </w:p>
    <w:p w14:paraId="52DFE190" w14:textId="1F6BA6F6" w:rsidR="0047478F" w:rsidRPr="000A4D03" w:rsidRDefault="00243141" w:rsidP="00F85689">
      <w:pPr>
        <w:jc w:val="both"/>
        <w:rPr>
          <w:sz w:val="23"/>
          <w:szCs w:val="23"/>
        </w:rPr>
      </w:pPr>
      <w:r>
        <w:rPr>
          <w:sz w:val="23"/>
          <w:szCs w:val="23"/>
        </w:rPr>
        <w:fldChar w:fldCharType="end"/>
      </w:r>
    </w:p>
    <w:p w14:paraId="24D227BB" w14:textId="77777777" w:rsidR="00F171CC" w:rsidRPr="000A4D03" w:rsidRDefault="00F171CC" w:rsidP="00F85689">
      <w:pPr>
        <w:spacing w:after="120"/>
        <w:ind w:firstLine="360"/>
        <w:jc w:val="both"/>
        <w:rPr>
          <w:sz w:val="22"/>
          <w:szCs w:val="22"/>
        </w:rPr>
      </w:pPr>
    </w:p>
    <w:p w14:paraId="2D4AF8A4" w14:textId="77777777" w:rsidR="00F171CC" w:rsidRPr="000A4D03" w:rsidRDefault="00F171CC">
      <w:pPr>
        <w:spacing w:after="120"/>
        <w:ind w:firstLine="360"/>
        <w:jc w:val="both"/>
        <w:rPr>
          <w:sz w:val="22"/>
          <w:szCs w:val="22"/>
        </w:rPr>
      </w:pPr>
    </w:p>
    <w:p w14:paraId="30317EE6" w14:textId="77777777" w:rsidR="00F171CC" w:rsidRPr="000A4D03" w:rsidRDefault="00F171CC">
      <w:pPr>
        <w:spacing w:after="120"/>
        <w:ind w:firstLine="360"/>
        <w:jc w:val="both"/>
        <w:rPr>
          <w:sz w:val="22"/>
          <w:szCs w:val="22"/>
        </w:rPr>
      </w:pPr>
    </w:p>
    <w:p w14:paraId="75DE16CB" w14:textId="77777777" w:rsidR="00F171CC" w:rsidRDefault="00F171CC">
      <w:pPr>
        <w:spacing w:after="120"/>
        <w:ind w:firstLine="360"/>
        <w:jc w:val="both"/>
        <w:rPr>
          <w:sz w:val="22"/>
          <w:szCs w:val="22"/>
        </w:rPr>
      </w:pPr>
    </w:p>
    <w:sectPr w:rsidR="00F171CC">
      <w:type w:val="continuous"/>
      <w:pgSz w:w="11909" w:h="16834"/>
      <w:pgMar w:top="1701" w:right="1701" w:bottom="2268" w:left="1701" w:header="1063" w:footer="12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0235E" w14:textId="77777777" w:rsidR="00320F7B" w:rsidRPr="000A4D03" w:rsidRDefault="00320F7B">
      <w:r w:rsidRPr="000A4D03">
        <w:separator/>
      </w:r>
    </w:p>
  </w:endnote>
  <w:endnote w:type="continuationSeparator" w:id="0">
    <w:p w14:paraId="4F3026BD" w14:textId="77777777" w:rsidR="00320F7B" w:rsidRPr="000A4D03" w:rsidRDefault="00320F7B">
      <w:r w:rsidRPr="000A4D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D0158BB0-5D60-4FD6-8695-DF66C2BEE4D7}"/>
    <w:embedBold r:id="rId2" w:fontKey="{352C5D86-10A3-42A3-9C85-E23D045D925A}"/>
  </w:font>
  <w:font w:name="Times">
    <w:panose1 w:val="02020603050405020304"/>
    <w:charset w:val="00"/>
    <w:family w:val="roman"/>
    <w:pitch w:val="variable"/>
    <w:sig w:usb0="E0002EFF" w:usb1="C000785B" w:usb2="00000009" w:usb3="00000000" w:csb0="000001FF" w:csb1="00000000"/>
    <w:embedRegular r:id="rId3" w:fontKey="{33556649-D2FD-4C90-AFA6-912B13563B73}"/>
  </w:font>
  <w:font w:name="Calibri">
    <w:panose1 w:val="020F0502020204030204"/>
    <w:charset w:val="00"/>
    <w:family w:val="swiss"/>
    <w:pitch w:val="variable"/>
    <w:sig w:usb0="E4002EFF" w:usb1="C200247B" w:usb2="00000009" w:usb3="00000000" w:csb0="000001FF" w:csb1="00000000"/>
    <w:embedRegular r:id="rId4" w:fontKey="{4B056B5C-6BE6-4757-A865-0FC1EAEA349F}"/>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BBE1131B-DA19-4AF6-A748-AF457764C8A5}"/>
    <w:embedItalic r:id="rId6" w:fontKey="{0726ED87-78B2-4ED1-BB1A-90483DE7C990}"/>
  </w:font>
  <w:font w:name="Helvetica Neue">
    <w:charset w:val="00"/>
    <w:family w:val="auto"/>
    <w:pitch w:val="default"/>
    <w:embedRegular r:id="rId7" w:fontKey="{EE467A8E-1BD0-414A-B128-E443C40B6FE3}"/>
  </w:font>
  <w:font w:name="Tahoma">
    <w:panose1 w:val="020B0604030504040204"/>
    <w:charset w:val="00"/>
    <w:family w:val="swiss"/>
    <w:pitch w:val="variable"/>
    <w:sig w:usb0="E1002EFF" w:usb1="C000605B" w:usb2="00000029" w:usb3="00000000" w:csb0="000101FF" w:csb1="00000000"/>
    <w:embedRegular r:id="rId8" w:fontKey="{65C0C4B7-541E-4E1B-B67D-39350AC5D55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60A23" w14:textId="77777777" w:rsidR="00F171CC" w:rsidRPr="000A4D03" w:rsidRDefault="00F171CC">
    <w:pPr>
      <w:pBdr>
        <w:top w:val="nil"/>
        <w:left w:val="nil"/>
        <w:bottom w:val="nil"/>
        <w:right w:val="nil"/>
        <w:between w:val="nil"/>
      </w:pBdr>
      <w:tabs>
        <w:tab w:val="center" w:pos="4320"/>
        <w:tab w:val="right" w:pos="8640"/>
      </w:tabs>
      <w:rPr>
        <w:color w:val="000000"/>
        <w:szCs w:val="24"/>
      </w:rPr>
    </w:pPr>
  </w:p>
  <w:p w14:paraId="043FD54F" w14:textId="77777777" w:rsidR="00F171CC" w:rsidRPr="00822F07" w:rsidRDefault="001A25E2">
    <w:pPr>
      <w:pBdr>
        <w:top w:val="nil"/>
        <w:left w:val="nil"/>
        <w:bottom w:val="nil"/>
        <w:right w:val="nil"/>
        <w:between w:val="nil"/>
      </w:pBdr>
      <w:tabs>
        <w:tab w:val="center" w:pos="4320"/>
        <w:tab w:val="right" w:pos="8640"/>
      </w:tabs>
      <w:rPr>
        <w:bCs/>
        <w:color w:val="000000"/>
        <w:szCs w:val="24"/>
      </w:rPr>
    </w:pPr>
    <w:r w:rsidRPr="00822F07">
      <w:rPr>
        <w:bCs/>
        <w:color w:val="000000"/>
        <w:szCs w:val="24"/>
      </w:rPr>
      <w:t>New Economy : https://journal.ajbnews.com/index.php/ne</w:t>
    </w:r>
  </w:p>
  <w:p w14:paraId="1FE6DD17" w14:textId="34E53F03" w:rsidR="00F171CC" w:rsidRPr="000A4D03" w:rsidRDefault="00F171CC">
    <w:pPr>
      <w:pBdr>
        <w:top w:val="nil"/>
        <w:left w:val="nil"/>
        <w:bottom w:val="nil"/>
        <w:right w:val="nil"/>
        <w:between w:val="nil"/>
      </w:pBdr>
      <w:tabs>
        <w:tab w:val="center" w:pos="4320"/>
        <w:tab w:val="right" w:pos="8640"/>
      </w:tabs>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50060" w14:textId="5DB1EC5B" w:rsidR="00822F07" w:rsidRPr="00822F07" w:rsidRDefault="00822F07" w:rsidP="00822F07">
    <w:pPr>
      <w:pBdr>
        <w:top w:val="nil"/>
        <w:left w:val="nil"/>
        <w:bottom w:val="nil"/>
        <w:right w:val="nil"/>
        <w:between w:val="nil"/>
      </w:pBdr>
      <w:tabs>
        <w:tab w:val="center" w:pos="4320"/>
        <w:tab w:val="right" w:pos="8640"/>
      </w:tabs>
      <w:jc w:val="right"/>
      <w:rPr>
        <w:bCs/>
        <w:color w:val="000000"/>
        <w:szCs w:val="24"/>
      </w:rPr>
    </w:pPr>
    <w:r w:rsidRPr="00822F07">
      <w:rPr>
        <w:bCs/>
        <w:color w:val="000000"/>
        <w:sz w:val="22"/>
        <w:szCs w:val="22"/>
      </w:rPr>
      <w:t>Hendi Yoga Pranata :</w:t>
    </w:r>
    <w:r w:rsidRPr="00822F07">
      <w:rPr>
        <w:bCs/>
        <w:color w:val="000000"/>
        <w:szCs w:val="24"/>
      </w:rPr>
      <w:t xml:space="preserve"> </w:t>
    </w:r>
    <w:r w:rsidRPr="00822F07">
      <w:rPr>
        <w:i/>
        <w:iCs/>
        <w:sz w:val="22"/>
        <w:szCs w:val="22"/>
      </w:rPr>
      <w:t>Optimisme Pertumbuhan Kredit Perbankan ...</w:t>
    </w:r>
  </w:p>
  <w:p w14:paraId="643CDDC7" w14:textId="77777777" w:rsidR="00822F07" w:rsidRDefault="00822F07">
    <w:pPr>
      <w:pBdr>
        <w:top w:val="nil"/>
        <w:left w:val="nil"/>
        <w:bottom w:val="nil"/>
        <w:right w:val="nil"/>
        <w:between w:val="nil"/>
      </w:pBdr>
      <w:tabs>
        <w:tab w:val="center" w:pos="4320"/>
        <w:tab w:val="right" w:pos="8640"/>
      </w:tabs>
      <w:jc w:val="right"/>
      <w:rPr>
        <w:color w:val="000000"/>
        <w:szCs w:val="24"/>
      </w:rPr>
    </w:pPr>
  </w:p>
  <w:p w14:paraId="39A0A8C3" w14:textId="57B8B677" w:rsidR="00F171CC" w:rsidRPr="000A4D03" w:rsidRDefault="001A25E2">
    <w:pPr>
      <w:pBdr>
        <w:top w:val="nil"/>
        <w:left w:val="nil"/>
        <w:bottom w:val="nil"/>
        <w:right w:val="nil"/>
        <w:between w:val="nil"/>
      </w:pBdr>
      <w:tabs>
        <w:tab w:val="center" w:pos="4320"/>
        <w:tab w:val="right" w:pos="8640"/>
      </w:tabs>
      <w:jc w:val="right"/>
      <w:rPr>
        <w:color w:val="000000"/>
        <w:szCs w:val="24"/>
      </w:rPr>
    </w:pPr>
    <w:r w:rsidRPr="000A4D03">
      <w:rPr>
        <w:color w:val="000000"/>
        <w:szCs w:val="24"/>
      </w:rPr>
      <w:fldChar w:fldCharType="begin"/>
    </w:r>
    <w:r w:rsidRPr="000A4D03">
      <w:rPr>
        <w:color w:val="000000"/>
        <w:szCs w:val="24"/>
      </w:rPr>
      <w:instrText>PAGE</w:instrText>
    </w:r>
    <w:r w:rsidRPr="000A4D03">
      <w:rPr>
        <w:color w:val="000000"/>
        <w:szCs w:val="24"/>
      </w:rPr>
      <w:fldChar w:fldCharType="separate"/>
    </w:r>
    <w:r w:rsidR="00E26551" w:rsidRPr="000A4D03">
      <w:rPr>
        <w:color w:val="000000"/>
        <w:szCs w:val="24"/>
      </w:rPr>
      <w:t>1</w:t>
    </w:r>
    <w:r w:rsidRPr="000A4D03">
      <w:rPr>
        <w:color w:val="000000"/>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E9151" w14:textId="77777777" w:rsidR="00412E9E" w:rsidRDefault="00412E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54263" w14:textId="77777777" w:rsidR="00320F7B" w:rsidRPr="000A4D03" w:rsidRDefault="00320F7B">
      <w:r w:rsidRPr="000A4D03">
        <w:separator/>
      </w:r>
    </w:p>
  </w:footnote>
  <w:footnote w:type="continuationSeparator" w:id="0">
    <w:p w14:paraId="0B2822D9" w14:textId="77777777" w:rsidR="00320F7B" w:rsidRPr="000A4D03" w:rsidRDefault="00320F7B">
      <w:r w:rsidRPr="000A4D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CDF72" w14:textId="082F8349" w:rsidR="00412E9E" w:rsidRPr="000A4D03" w:rsidRDefault="00412E9E" w:rsidP="00412E9E">
    <w:pPr>
      <w:pBdr>
        <w:top w:val="nil"/>
        <w:left w:val="nil"/>
        <w:bottom w:val="nil"/>
        <w:right w:val="nil"/>
        <w:between w:val="nil"/>
      </w:pBdr>
      <w:tabs>
        <w:tab w:val="center" w:pos="4680"/>
        <w:tab w:val="right" w:pos="9360"/>
      </w:tabs>
      <w:rPr>
        <w:color w:val="000000"/>
        <w:sz w:val="20"/>
      </w:rPr>
    </w:pPr>
    <w:r>
      <w:drawing>
        <wp:anchor distT="0" distB="0" distL="114300" distR="114300" simplePos="0" relativeHeight="251660288" behindDoc="0" locked="0" layoutInCell="1" allowOverlap="1" wp14:anchorId="48423E59" wp14:editId="35D678C0">
          <wp:simplePos x="0" y="0"/>
          <wp:positionH relativeFrom="column">
            <wp:posOffset>-857885</wp:posOffset>
          </wp:positionH>
          <wp:positionV relativeFrom="paragraph">
            <wp:posOffset>-230505</wp:posOffset>
          </wp:positionV>
          <wp:extent cx="679450" cy="679450"/>
          <wp:effectExtent l="0" t="0" r="6350" b="6350"/>
          <wp:wrapNone/>
          <wp:docPr id="6689680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968077" name="Picture 668968077"/>
                  <pic:cNvPicPr/>
                </pic:nvPicPr>
                <pic:blipFill>
                  <a:blip r:embed="rId1">
                    <a:extLst>
                      <a:ext uri="{28A0092B-C50C-407E-A947-70E740481C1C}">
                        <a14:useLocalDpi xmlns:a14="http://schemas.microsoft.com/office/drawing/2010/main" val="0"/>
                      </a:ext>
                    </a:extLst>
                  </a:blip>
                  <a:stretch>
                    <a:fillRect/>
                  </a:stretch>
                </pic:blipFill>
                <pic:spPr>
                  <a:xfrm>
                    <a:off x="0" y="0"/>
                    <a:ext cx="679450" cy="679450"/>
                  </a:xfrm>
                  <a:prstGeom prst="rect">
                    <a:avLst/>
                  </a:prstGeom>
                </pic:spPr>
              </pic:pic>
            </a:graphicData>
          </a:graphic>
          <wp14:sizeRelH relativeFrom="page">
            <wp14:pctWidth>0</wp14:pctWidth>
          </wp14:sizeRelH>
          <wp14:sizeRelV relativeFrom="page">
            <wp14:pctHeight>0</wp14:pctHeight>
          </wp14:sizeRelV>
        </wp:anchor>
      </w:drawing>
    </w:r>
    <w:r w:rsidRPr="000A4D03">
      <w:rPr>
        <w:b/>
        <w:color w:val="0070C0"/>
        <w:szCs w:val="24"/>
      </w:rPr>
      <w:t>New Economy</w:t>
    </w:r>
    <w:r w:rsidRPr="000A4D03">
      <w:rPr>
        <w:b/>
        <w:color w:val="000000"/>
        <w:sz w:val="20"/>
      </w:rPr>
      <w:t xml:space="preserve"> : Jurnal Ekonomi Akuntansi, Manajemen, Bisnis</w:t>
    </w:r>
  </w:p>
  <w:p w14:paraId="2D40C471" w14:textId="31705143" w:rsidR="00412E9E" w:rsidRDefault="00412E9E" w:rsidP="00412E9E">
    <w:pPr>
      <w:pStyle w:val="Header"/>
      <w:rPr>
        <w:color w:val="000000"/>
        <w:sz w:val="20"/>
      </w:rPr>
    </w:pPr>
    <w:r w:rsidRPr="000A4D03">
      <w:rPr>
        <w:color w:val="000000"/>
        <w:sz w:val="20"/>
      </w:rPr>
      <w:t xml:space="preserve">e-ISSN: </w:t>
    </w:r>
    <w:r w:rsidRPr="000A4D03">
      <w:rPr>
        <w:sz w:val="21"/>
        <w:szCs w:val="21"/>
        <w:highlight w:val="white"/>
      </w:rPr>
      <w:t>3089-8749</w:t>
    </w:r>
    <w:r w:rsidRPr="000A4D03">
      <w:rPr>
        <w:color w:val="000000"/>
        <w:sz w:val="20"/>
      </w:rPr>
      <w:t xml:space="preserve"> , Vol. </w:t>
    </w:r>
    <w:r>
      <w:rPr>
        <w:color w:val="000000"/>
        <w:sz w:val="20"/>
      </w:rPr>
      <w:t>1</w:t>
    </w:r>
    <w:r w:rsidRPr="000A4D03">
      <w:rPr>
        <w:color w:val="000000"/>
        <w:sz w:val="20"/>
      </w:rPr>
      <w:t xml:space="preserve">, No. </w:t>
    </w:r>
    <w:r>
      <w:rPr>
        <w:color w:val="000000"/>
        <w:sz w:val="20"/>
      </w:rPr>
      <w:t>2</w:t>
    </w:r>
    <w:r w:rsidRPr="000A4D03">
      <w:rPr>
        <w:color w:val="000000"/>
        <w:sz w:val="20"/>
      </w:rPr>
      <w:t xml:space="preserve">, </w:t>
    </w:r>
    <w:r>
      <w:rPr>
        <w:color w:val="000000"/>
        <w:sz w:val="20"/>
      </w:rPr>
      <w:t>September</w:t>
    </w:r>
    <w:r w:rsidRPr="000A4D03">
      <w:rPr>
        <w:color w:val="000000"/>
        <w:sz w:val="20"/>
      </w:rPr>
      <w:t xml:space="preserve"> </w:t>
    </w:r>
    <w:r>
      <w:rPr>
        <w:color w:val="000000"/>
        <w:sz w:val="20"/>
      </w:rPr>
      <w:t>2025</w:t>
    </w:r>
  </w:p>
  <w:p w14:paraId="75C0D686" w14:textId="1FBADF8F" w:rsidR="00412E9E" w:rsidRDefault="00412E9E" w:rsidP="00412E9E">
    <w:pPr>
      <w:pStyle w:val="Header"/>
      <w:rPr>
        <w:noProof w:val="0"/>
      </w:rPr>
    </w:pPr>
    <w:hyperlink r:id="rId2" w:history="1">
      <w:r w:rsidRPr="00392CDA">
        <w:rPr>
          <w:rStyle w:val="Hyperlink"/>
          <w:noProof w:val="0"/>
        </w:rPr>
        <w:t>https://journal.ajbnews.com/index.php/ne</w:t>
      </w:r>
    </w:hyperlink>
    <w:r>
      <w:rPr>
        <w:noProof w:val="0"/>
      </w:rPr>
      <w:t xml:space="preserve"> </w:t>
    </w:r>
  </w:p>
  <w:sdt>
    <w:sdtPr>
      <w:rPr>
        <w:noProof w:val="0"/>
      </w:rPr>
      <w:id w:val="1393687664"/>
      <w:docPartObj>
        <w:docPartGallery w:val="Page Numbers (Top of Page)"/>
        <w:docPartUnique/>
      </w:docPartObj>
    </w:sdtPr>
    <w:sdtEndPr>
      <w:rPr>
        <w:noProof/>
      </w:rPr>
    </w:sdtEndPr>
    <w:sdtContent>
      <w:p w14:paraId="582205EF" w14:textId="5A092E44" w:rsidR="00412E9E" w:rsidRDefault="00412E9E">
        <w:pPr>
          <w:pStyle w:val="Header"/>
          <w:jc w:val="right"/>
        </w:pPr>
        <w:r>
          <w:rPr>
            <w:noProof w:val="0"/>
          </w:rPr>
          <w:fldChar w:fldCharType="begin"/>
        </w:r>
        <w:r>
          <w:instrText xml:space="preserve"> PAGE   \* MERGEFORMAT </w:instrText>
        </w:r>
        <w:r>
          <w:rPr>
            <w:noProof w:val="0"/>
          </w:rPr>
          <w:fldChar w:fldCharType="separate"/>
        </w:r>
        <w:r>
          <w:t>2</w:t>
        </w:r>
        <w:r>
          <w:fldChar w:fldCharType="end"/>
        </w:r>
      </w:p>
    </w:sdtContent>
  </w:sdt>
  <w:p w14:paraId="384812AC" w14:textId="682114A6" w:rsidR="00412E9E" w:rsidRDefault="00412E9E" w:rsidP="00412E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97CB4" w14:textId="77777777" w:rsidR="00412E9E" w:rsidRDefault="00412E9E" w:rsidP="00412E9E">
    <w:pPr>
      <w:pStyle w:val="Header"/>
      <w:rPr>
        <w:noProof w:val="0"/>
      </w:rPr>
    </w:pPr>
  </w:p>
  <w:sdt>
    <w:sdtPr>
      <w:rPr>
        <w:noProof w:val="0"/>
      </w:rPr>
      <w:id w:val="-701172313"/>
      <w:docPartObj>
        <w:docPartGallery w:val="Page Numbers (Top of Page)"/>
        <w:docPartUnique/>
      </w:docPartObj>
    </w:sdtPr>
    <w:sdtEndPr>
      <w:rPr>
        <w:noProof/>
      </w:rPr>
    </w:sdtEndPr>
    <w:sdtContent>
      <w:p w14:paraId="479C3D75" w14:textId="34AED4E1" w:rsidR="00412E9E" w:rsidRDefault="00412E9E">
        <w:pPr>
          <w:pStyle w:val="Header"/>
          <w:jc w:val="right"/>
        </w:pPr>
        <w:r>
          <w:rPr>
            <w:noProof w:val="0"/>
          </w:rPr>
          <w:fldChar w:fldCharType="begin"/>
        </w:r>
        <w:r>
          <w:instrText xml:space="preserve"> PAGE   \* MERGEFORMAT </w:instrText>
        </w:r>
        <w:r>
          <w:rPr>
            <w:noProof w:val="0"/>
          </w:rPr>
          <w:fldChar w:fldCharType="separate"/>
        </w:r>
        <w:r>
          <w:t>2</w:t>
        </w:r>
        <w:r>
          <w:fldChar w:fldCharType="end"/>
        </w:r>
      </w:p>
    </w:sdtContent>
  </w:sdt>
  <w:p w14:paraId="5946E523" w14:textId="10EA4838" w:rsidR="00F171CC" w:rsidRPr="000A4D03" w:rsidRDefault="00F171CC">
    <w:pPr>
      <w:pBdr>
        <w:top w:val="nil"/>
        <w:left w:val="nil"/>
        <w:bottom w:val="nil"/>
        <w:right w:val="nil"/>
        <w:between w:val="nil"/>
      </w:pBdr>
      <w:tabs>
        <w:tab w:val="center" w:pos="4680"/>
        <w:tab w:val="right" w:pos="9360"/>
      </w:tabs>
      <w:rPr>
        <w:color w:val="000000"/>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C367A" w14:textId="77777777" w:rsidR="00412E9E" w:rsidRDefault="00412E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E186D"/>
    <w:multiLevelType w:val="hybridMultilevel"/>
    <w:tmpl w:val="BF32855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E1D490C"/>
    <w:multiLevelType w:val="multilevel"/>
    <w:tmpl w:val="3A842C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BDC240F"/>
    <w:multiLevelType w:val="hybridMultilevel"/>
    <w:tmpl w:val="6810ACF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47206659">
    <w:abstractNumId w:val="1"/>
  </w:num>
  <w:num w:numId="2" w16cid:durableId="987200942">
    <w:abstractNumId w:val="0"/>
  </w:num>
  <w:num w:numId="3" w16cid:durableId="9537494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1CC"/>
    <w:rsid w:val="000A4D03"/>
    <w:rsid w:val="000A5585"/>
    <w:rsid w:val="000B3B4C"/>
    <w:rsid w:val="000B5AD1"/>
    <w:rsid w:val="000D2A3A"/>
    <w:rsid w:val="001875A6"/>
    <w:rsid w:val="001A25E2"/>
    <w:rsid w:val="00206286"/>
    <w:rsid w:val="00206BD8"/>
    <w:rsid w:val="00243141"/>
    <w:rsid w:val="00320F7B"/>
    <w:rsid w:val="003B2EC2"/>
    <w:rsid w:val="003E66EB"/>
    <w:rsid w:val="00412E9E"/>
    <w:rsid w:val="00416D00"/>
    <w:rsid w:val="00471576"/>
    <w:rsid w:val="0047478F"/>
    <w:rsid w:val="004B5DAD"/>
    <w:rsid w:val="004C403F"/>
    <w:rsid w:val="00535E07"/>
    <w:rsid w:val="005678D1"/>
    <w:rsid w:val="005F2B31"/>
    <w:rsid w:val="00607BB7"/>
    <w:rsid w:val="0062581B"/>
    <w:rsid w:val="006836CB"/>
    <w:rsid w:val="00750351"/>
    <w:rsid w:val="00757234"/>
    <w:rsid w:val="00822F07"/>
    <w:rsid w:val="00866315"/>
    <w:rsid w:val="008E4B40"/>
    <w:rsid w:val="00956FB5"/>
    <w:rsid w:val="00996A57"/>
    <w:rsid w:val="009B3959"/>
    <w:rsid w:val="00A84233"/>
    <w:rsid w:val="00AB727C"/>
    <w:rsid w:val="00B326C3"/>
    <w:rsid w:val="00B375E5"/>
    <w:rsid w:val="00B63AB5"/>
    <w:rsid w:val="00BD278A"/>
    <w:rsid w:val="00BF646D"/>
    <w:rsid w:val="00C97EAE"/>
    <w:rsid w:val="00D031D6"/>
    <w:rsid w:val="00D35AB4"/>
    <w:rsid w:val="00DE6D4B"/>
    <w:rsid w:val="00DE7050"/>
    <w:rsid w:val="00E26130"/>
    <w:rsid w:val="00E26551"/>
    <w:rsid w:val="00E9696D"/>
    <w:rsid w:val="00EB6D28"/>
    <w:rsid w:val="00EC7EE7"/>
    <w:rsid w:val="00EF62A0"/>
    <w:rsid w:val="00F07CAF"/>
    <w:rsid w:val="00F171CC"/>
    <w:rsid w:val="00F77757"/>
    <w:rsid w:val="00F85689"/>
    <w:rsid w:val="00F97C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7C722"/>
  <w15:docId w15:val="{B0A199D1-DB99-4F4B-9544-95996FE26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rPr>
      <w:noProof/>
      <w:szCs w:val="20"/>
      <w:lang w:val="id-ID"/>
    </w:rPr>
  </w:style>
  <w:style w:type="paragraph" w:styleId="Heading1">
    <w:name w:val="heading 1"/>
    <w:basedOn w:val="Normal"/>
    <w:next w:val="Normal"/>
    <w:link w:val="Heading1Char"/>
    <w:uiPriority w:val="9"/>
    <w:qFormat/>
    <w:rsid w:val="00D73172"/>
    <w:pPr>
      <w:keepNext/>
      <w:outlineLvl w:val="0"/>
    </w:pPr>
    <w:rPr>
      <w:b/>
      <w:i/>
      <w:sz w:val="40"/>
    </w:rPr>
  </w:style>
  <w:style w:type="paragraph" w:styleId="Heading2">
    <w:name w:val="heading 2"/>
    <w:basedOn w:val="Normal"/>
    <w:next w:val="Normal"/>
    <w:link w:val="Heading2Char"/>
    <w:uiPriority w:val="9"/>
    <w:semiHidden/>
    <w:unhideWhenUsed/>
    <w:qFormat/>
    <w:rsid w:val="00D73172"/>
    <w:pPr>
      <w:keepNext/>
      <w:outlineLvl w:val="1"/>
    </w:pPr>
    <w:rPr>
      <w:b/>
      <w:sz w:val="32"/>
    </w:rPr>
  </w:style>
  <w:style w:type="paragraph" w:styleId="Heading3">
    <w:name w:val="heading 3"/>
    <w:basedOn w:val="Normal"/>
    <w:next w:val="Normal"/>
    <w:link w:val="Heading3Char"/>
    <w:uiPriority w:val="9"/>
    <w:semiHidden/>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73172"/>
    <w:pPr>
      <w:jc w:val="center"/>
    </w:pPr>
    <w:rPr>
      <w:b/>
      <w:sz w:val="20"/>
      <w:szCs w:val="24"/>
    </w:rPr>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rsid w:val="00D73172"/>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List Paragraph11,List Paragraph111"/>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customStyle="1" w:styleId="MainText">
    <w:name w:val="Main Text"/>
    <w:basedOn w:val="Normal"/>
    <w:rsid w:val="00D447A7"/>
    <w:pPr>
      <w:ind w:firstLine="284"/>
      <w:jc w:val="both"/>
    </w:pPr>
    <w:rPr>
      <w:sz w:val="20"/>
      <w:szCs w:val="24"/>
    </w:rPr>
  </w:style>
  <w:style w:type="paragraph" w:customStyle="1" w:styleId="SecondOrderHeadings">
    <w:name w:val="Second Order Headings"/>
    <w:basedOn w:val="Normal"/>
    <w:next w:val="MainText"/>
    <w:rsid w:val="00D447A7"/>
    <w:pPr>
      <w:spacing w:before="240" w:after="240"/>
      <w:jc w:val="both"/>
    </w:pPr>
    <w:rPr>
      <w:b/>
      <w:bCs/>
      <w:sz w:val="26"/>
      <w:szCs w:val="24"/>
    </w:rPr>
  </w:style>
  <w:style w:type="paragraph" w:customStyle="1" w:styleId="CaptionFiguresTables">
    <w:name w:val="Caption Figures/Tables"/>
    <w:basedOn w:val="Normal"/>
    <w:rsid w:val="00D447A7"/>
    <w:pPr>
      <w:spacing w:before="120" w:after="120"/>
      <w:jc w:val="center"/>
    </w:pPr>
    <w:rPr>
      <w:sz w:val="18"/>
      <w:szCs w:val="24"/>
    </w:rPr>
  </w:style>
  <w:style w:type="paragraph" w:styleId="Caption">
    <w:name w:val="caption"/>
    <w:basedOn w:val="Normal"/>
    <w:next w:val="Normal"/>
    <w:uiPriority w:val="35"/>
    <w:qFormat/>
    <w:rsid w:val="00D447A7"/>
    <w:pPr>
      <w:keepLines/>
      <w:widowControl w:val="0"/>
      <w:spacing w:before="200" w:after="240" w:line="200" w:lineRule="exact"/>
    </w:pPr>
    <w:rPr>
      <w:rFonts w:eastAsia="SimSun"/>
      <w:sz w:val="16"/>
      <w:lang w:val="en-GB"/>
    </w:rPr>
  </w:style>
  <w:style w:type="character" w:customStyle="1" w:styleId="ListParagraphChar">
    <w:name w:val="List Paragraph Char"/>
    <w:aliases w:val="List Paragraph11 Char,List Paragraph111 Char"/>
    <w:link w:val="ListParagraph"/>
    <w:uiPriority w:val="34"/>
    <w:rsid w:val="00D447A7"/>
    <w:rPr>
      <w:rFonts w:eastAsia="Times New Roman"/>
      <w:szCs w:val="20"/>
    </w:rPr>
  </w:style>
  <w:style w:type="paragraph" w:styleId="FootnoteText">
    <w:name w:val="footnote text"/>
    <w:basedOn w:val="Normal"/>
    <w:link w:val="FootnoteTextChar"/>
    <w:uiPriority w:val="99"/>
    <w:semiHidden/>
    <w:unhideWhenUsed/>
    <w:rsid w:val="00414991"/>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414991"/>
    <w:rPr>
      <w:rFonts w:asciiTheme="minorHAnsi" w:hAnsiTheme="minorHAnsi" w:cstheme="minorBidi"/>
      <w:sz w:val="20"/>
      <w:szCs w:val="20"/>
    </w:rPr>
  </w:style>
  <w:style w:type="paragraph" w:customStyle="1" w:styleId="ReferencesText">
    <w:name w:val="References Text"/>
    <w:basedOn w:val="Normal"/>
    <w:rsid w:val="00A86531"/>
    <w:pPr>
      <w:spacing w:after="40"/>
      <w:ind w:left="284" w:hanging="284"/>
      <w:jc w:val="both"/>
    </w:pPr>
    <w:rPr>
      <w:sz w:val="18"/>
      <w:szCs w:val="24"/>
    </w:rPr>
  </w:style>
  <w:style w:type="paragraph" w:customStyle="1" w:styleId="Default">
    <w:name w:val="Default"/>
    <w:rsid w:val="00A86531"/>
    <w:pPr>
      <w:autoSpaceDE w:val="0"/>
      <w:autoSpaceDN w:val="0"/>
      <w:adjustRightInd w:val="0"/>
    </w:pPr>
    <w:rPr>
      <w:rFonts w:eastAsia="Calibri"/>
      <w:color w:val="000000"/>
    </w:rPr>
  </w:style>
  <w:style w:type="character" w:styleId="UnresolvedMention">
    <w:name w:val="Unresolved Mention"/>
    <w:basedOn w:val="DefaultParagraphFont"/>
    <w:uiPriority w:val="99"/>
    <w:semiHidden/>
    <w:unhideWhenUsed/>
    <w:rsid w:val="009F6E8C"/>
    <w:rPr>
      <w:color w:val="605E5C"/>
      <w:shd w:val="clear" w:color="auto" w:fill="E1DFDD"/>
    </w:rPr>
  </w:style>
  <w:style w:type="paragraph" w:styleId="NormalWeb">
    <w:name w:val="Normal (Web)"/>
    <w:basedOn w:val="Normal"/>
    <w:uiPriority w:val="99"/>
    <w:semiHidden/>
    <w:unhideWhenUsed/>
    <w:rsid w:val="000A28B8"/>
    <w:pPr>
      <w:spacing w:before="100" w:beforeAutospacing="1" w:after="100" w:afterAutospacing="1"/>
    </w:pPr>
    <w:rPr>
      <w:szCs w:val="24"/>
      <w:lang w:val="en-ID" w:eastAsia="en-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956FB5"/>
    <w:rPr>
      <w:sz w:val="16"/>
      <w:szCs w:val="16"/>
    </w:rPr>
  </w:style>
  <w:style w:type="paragraph" w:styleId="CommentText">
    <w:name w:val="annotation text"/>
    <w:basedOn w:val="Normal"/>
    <w:link w:val="CommentTextChar"/>
    <w:uiPriority w:val="99"/>
    <w:semiHidden/>
    <w:unhideWhenUsed/>
    <w:rsid w:val="00956FB5"/>
    <w:rPr>
      <w:sz w:val="20"/>
    </w:rPr>
  </w:style>
  <w:style w:type="character" w:customStyle="1" w:styleId="CommentTextChar">
    <w:name w:val="Comment Text Char"/>
    <w:basedOn w:val="DefaultParagraphFont"/>
    <w:link w:val="CommentText"/>
    <w:uiPriority w:val="99"/>
    <w:semiHidden/>
    <w:rsid w:val="00956FB5"/>
    <w:rPr>
      <w:noProof/>
      <w:sz w:val="20"/>
      <w:szCs w:val="20"/>
      <w:lang w:val="id-ID"/>
    </w:rPr>
  </w:style>
  <w:style w:type="paragraph" w:styleId="CommentSubject">
    <w:name w:val="annotation subject"/>
    <w:basedOn w:val="CommentText"/>
    <w:next w:val="CommentText"/>
    <w:link w:val="CommentSubjectChar"/>
    <w:uiPriority w:val="99"/>
    <w:semiHidden/>
    <w:unhideWhenUsed/>
    <w:rsid w:val="00956FB5"/>
    <w:rPr>
      <w:b/>
      <w:bCs/>
    </w:rPr>
  </w:style>
  <w:style w:type="character" w:customStyle="1" w:styleId="CommentSubjectChar">
    <w:name w:val="Comment Subject Char"/>
    <w:basedOn w:val="CommentTextChar"/>
    <w:link w:val="CommentSubject"/>
    <w:uiPriority w:val="99"/>
    <w:semiHidden/>
    <w:rsid w:val="00956FB5"/>
    <w:rPr>
      <w:b/>
      <w:bCs/>
      <w:noProof/>
      <w:sz w:val="20"/>
      <w:szCs w:val="20"/>
      <w:lang w:val="id-ID"/>
    </w:rPr>
  </w:style>
  <w:style w:type="character" w:styleId="FootnoteReference">
    <w:name w:val="footnote reference"/>
    <w:basedOn w:val="DefaultParagraphFont"/>
    <w:uiPriority w:val="99"/>
    <w:semiHidden/>
    <w:unhideWhenUsed/>
    <w:rsid w:val="00DE70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24142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creativecommons.org/licenses/by-sa/4.0/"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hendiyoga862@gmail.com"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hyperlink" Target="https://journal.ajbnews.com/index.php/ne" TargetMode="External"/><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kbL/HPo+8fE/9KJ11My2ZjMpVA==">CgMxLjAyCGguZ2pkZ3hzOAByITFDNzY5Tm9PQW90OE9tLTI3WUpiSEJ2NzUxVnUtRGlFMQ==</go:docsCustomData>
</go:gDocsCustomXmlDataStorage>
</file>

<file path=customXml/itemProps1.xml><?xml version="1.0" encoding="utf-8"?>
<ds:datastoreItem xmlns:ds="http://schemas.openxmlformats.org/officeDocument/2006/customXml" ds:itemID="{BAD27AC4-370E-4647-8564-3E72C0F021C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8894</Words>
  <Characters>50702</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Template New Economy</dc:creator>
  <cp:lastModifiedBy>LENOVO</cp:lastModifiedBy>
  <cp:revision>2</cp:revision>
  <dcterms:created xsi:type="dcterms:W3CDTF">2025-09-25T15:52:00Z</dcterms:created>
  <dcterms:modified xsi:type="dcterms:W3CDTF">2025-09-25T15:52:00Z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abcae8c10c3c3817e2b709ef8c970b2ffe4e76e355ca7725d123db5f99e2b5af</vt:lpwstr>
  </property>
  <property fmtid="{D5CDD505-2E9C-101B-9397-08002B2CF9AE}" pid="3" name="Mendeley Document_1">
    <vt:lpwstr>True</vt:lpwstr>
  </property>
  <property fmtid="{D5CDD505-2E9C-101B-9397-08002B2CF9AE}" pid="4" name="Mendeley Unique User Id_1">
    <vt:lpwstr>7aaedb43-e58f-3f27-bca5-3177f3370292</vt:lpwstr>
  </property>
  <property fmtid="{D5CDD505-2E9C-101B-9397-08002B2CF9AE}" pid="5" name="Mendeley Citation Style_1">
    <vt:lpwstr>http://www.zotero.org/styles/apa-6th-edition</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http://www.zotero.org/styles/apa-6th-edition</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http://www.zotero.org/styles/apa</vt:lpwstr>
  </property>
  <property fmtid="{D5CDD505-2E9C-101B-9397-08002B2CF9AE}" pid="13" name="Mendeley Recent Style Name 3_1">
    <vt:lpwstr>American Psychological Association 7th edition</vt:lpwstr>
  </property>
  <property fmtid="{D5CDD505-2E9C-101B-9397-08002B2CF9AE}" pid="14" name="Mendeley Recent Style Id 4_1">
    <vt:lpwstr>http://www.zotero.org/styles/american-sociological-association</vt:lpwstr>
  </property>
  <property fmtid="{D5CDD505-2E9C-101B-9397-08002B2CF9AE}" pid="15" name="Mendeley Recent Style Name 4_1">
    <vt:lpwstr>American Sociological Association 6th/7th edition</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9th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http://www.zotero.org/styles/turabian-fullnote-bibliography</vt:lpwstr>
  </property>
  <property fmtid="{D5CDD505-2E9C-101B-9397-08002B2CF9AE}" pid="25" name="Mendeley Recent Style Name 9_1">
    <vt:lpwstr>Turabian 9th edition (full note)</vt:lpwstr>
  </property>
</Properties>
</file>